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2690A" w14:textId="6857A3F5" w:rsidR="009973A1" w:rsidRDefault="009973A1" w:rsidP="009973A1">
      <w:pPr>
        <w:pStyle w:val="Header"/>
        <w:tabs>
          <w:tab w:val="clear" w:pos="4153"/>
          <w:tab w:val="clear" w:pos="8306"/>
          <w:tab w:val="right" w:pos="9026"/>
        </w:tabs>
        <w:rPr>
          <w:b/>
          <w:sz w:val="24"/>
        </w:rPr>
      </w:pPr>
      <w:bookmarkStart w:id="0" w:name="_Hlk512609091"/>
      <w:r>
        <w:rPr>
          <w:b/>
          <w:sz w:val="24"/>
        </w:rPr>
        <w:t>3GPP TSG-RAN WG1 Meeting #97</w:t>
      </w:r>
      <w:r>
        <w:rPr>
          <w:b/>
          <w:sz w:val="24"/>
        </w:rPr>
        <w:tab/>
        <w:t>R1-190</w:t>
      </w:r>
      <w:r w:rsidR="003A55B4">
        <w:rPr>
          <w:b/>
          <w:sz w:val="24"/>
        </w:rPr>
        <w:t>6480</w:t>
      </w:r>
    </w:p>
    <w:p w14:paraId="419483DE" w14:textId="77777777" w:rsidR="009973A1" w:rsidRDefault="009973A1" w:rsidP="009973A1">
      <w:pPr>
        <w:pStyle w:val="Header"/>
        <w:rPr>
          <w:b/>
          <w:sz w:val="24"/>
        </w:rPr>
      </w:pPr>
      <w:r>
        <w:rPr>
          <w:b/>
          <w:sz w:val="24"/>
        </w:rPr>
        <w:t>Reno, USA, 13 – 17 May 2019</w:t>
      </w:r>
      <w:bookmarkEnd w:id="0"/>
    </w:p>
    <w:p w14:paraId="776F4C14" w14:textId="77777777" w:rsidR="00443FFF" w:rsidRDefault="00443FFF" w:rsidP="00443FFF"/>
    <w:p w14:paraId="03C6A536" w14:textId="16D74DB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t>7</w:t>
      </w:r>
    </w:p>
    <w:p w14:paraId="06A83340" w14:textId="0CEA296B" w:rsidR="00BC0557" w:rsidRPr="00D1518D" w:rsidRDefault="00BC0557" w:rsidP="00BC0557">
      <w:pPr>
        <w:tabs>
          <w:tab w:val="left" w:pos="1701"/>
        </w:tabs>
        <w:spacing w:after="60"/>
        <w:rPr>
          <w:bCs/>
          <w:color w:val="000000" w:themeColor="text1"/>
        </w:rPr>
      </w:pPr>
      <w:r w:rsidRPr="00D1518D">
        <w:rPr>
          <w:b/>
          <w:color w:val="000000" w:themeColor="text1"/>
          <w:sz w:val="22"/>
        </w:rPr>
        <w:t>Title:</w:t>
      </w:r>
      <w:r w:rsidRPr="00D1518D">
        <w:rPr>
          <w:b/>
          <w:color w:val="000000" w:themeColor="text1"/>
        </w:rPr>
        <w:tab/>
      </w:r>
      <w:r w:rsidR="00FA1128" w:rsidRPr="00FA1128">
        <w:rPr>
          <w:color w:val="000000" w:themeColor="text1"/>
        </w:rPr>
        <w:t>Discussion on NR Uu controlling LTE sidelink</w:t>
      </w:r>
    </w:p>
    <w:p w14:paraId="7DC2E3DB" w14:textId="40464AD1"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121BDAD9" w14:textId="528FC8D6" w:rsidR="002F480D" w:rsidRPr="00227A56" w:rsidRDefault="00867E6A" w:rsidP="002F480D">
      <w:pPr>
        <w:pStyle w:val="BodyText"/>
        <w:rPr>
          <w:color w:val="auto"/>
          <w:sz w:val="20"/>
          <w:szCs w:val="20"/>
        </w:rPr>
      </w:pPr>
      <w:r w:rsidRPr="00227A56">
        <w:rPr>
          <w:color w:val="auto"/>
          <w:sz w:val="20"/>
          <w:szCs w:val="20"/>
        </w:rPr>
        <w:t xml:space="preserve">In the recently approved 5G V2X work item [1], </w:t>
      </w:r>
      <w:r w:rsidR="00227A56" w:rsidRPr="00227A56">
        <w:rPr>
          <w:color w:val="auto"/>
          <w:sz w:val="20"/>
          <w:szCs w:val="20"/>
        </w:rPr>
        <w:t xml:space="preserve">the scope of supporting NR Uu to provide control of LTE sidelink includes both mode 4 and “mode 3-like” operations as per study item outcome. In addition, </w:t>
      </w:r>
      <w:r w:rsidR="00227A56" w:rsidRPr="00B86FC5">
        <w:rPr>
          <w:color w:val="000000" w:themeColor="text1"/>
          <w:sz w:val="20"/>
          <w:szCs w:val="20"/>
        </w:rPr>
        <w:t>RAN1 is tasked to investigate whether DCI-based activation/release of RRC-configured SPS scheduling should be supported instead of RRC-based activation/release.</w:t>
      </w:r>
    </w:p>
    <w:p w14:paraId="51A78236" w14:textId="77777777" w:rsidR="002F480D" w:rsidRPr="00F43AB1" w:rsidRDefault="002F480D" w:rsidP="002F480D">
      <w:pPr>
        <w:pStyle w:val="BodyText"/>
        <w:rPr>
          <w:color w:val="auto"/>
        </w:rPr>
      </w:pPr>
    </w:p>
    <w:tbl>
      <w:tblPr>
        <w:tblStyle w:val="TableGrid"/>
        <w:tblW w:w="0" w:type="auto"/>
        <w:tblLook w:val="04A0" w:firstRow="1" w:lastRow="0" w:firstColumn="1" w:lastColumn="0" w:noHBand="0" w:noVBand="1"/>
      </w:tblPr>
      <w:tblGrid>
        <w:gridCol w:w="9016"/>
      </w:tblGrid>
      <w:tr w:rsidR="002F480D" w14:paraId="66104024" w14:textId="77777777" w:rsidTr="007A225B">
        <w:tc>
          <w:tcPr>
            <w:tcW w:w="9016" w:type="dxa"/>
          </w:tcPr>
          <w:p w14:paraId="3ECFB146" w14:textId="77777777" w:rsidR="00005302" w:rsidRPr="00005302" w:rsidRDefault="00005302" w:rsidP="00005302">
            <w:pPr>
              <w:spacing w:before="60"/>
              <w:rPr>
                <w:rFonts w:ascii="Times New Roman" w:hAnsi="Times New Roman" w:cs="Times New Roman"/>
                <w:lang w:eastAsia="ko-KR"/>
              </w:rPr>
            </w:pPr>
            <w:r w:rsidRPr="00005302">
              <w:rPr>
                <w:rFonts w:ascii="Times New Roman" w:hAnsi="Times New Roman" w:cs="Times New Roman"/>
                <w:lang w:eastAsia="ko-KR"/>
              </w:rPr>
              <w:t xml:space="preserve">2. Specify support for NR Uu to provide control for LTE sidelink </w:t>
            </w:r>
          </w:p>
          <w:p w14:paraId="40D0A3AB" w14:textId="77777777" w:rsidR="00005302" w:rsidRPr="00005302" w:rsidRDefault="00005302" w:rsidP="00005302">
            <w:pPr>
              <w:numPr>
                <w:ilvl w:val="0"/>
                <w:numId w:val="14"/>
              </w:numPr>
              <w:overflowPunct w:val="0"/>
              <w:autoSpaceDE w:val="0"/>
              <w:autoSpaceDN w:val="0"/>
              <w:adjustRightInd w:val="0"/>
              <w:textAlignment w:val="baseline"/>
              <w:rPr>
                <w:rFonts w:ascii="Times New Roman" w:hAnsi="Times New Roman" w:cs="Times New Roman"/>
                <w:lang w:val="en-US" w:eastAsia="ko-KR"/>
              </w:rPr>
            </w:pPr>
            <w:r w:rsidRPr="00005302">
              <w:rPr>
                <w:rFonts w:ascii="Times New Roman" w:hAnsi="Times New Roman" w:cs="Times New Roman"/>
                <w:lang w:val="en-US" w:eastAsia="ko-KR"/>
              </w:rPr>
              <w:t>Sidelink mode 4 as per the study outcome [RAN2, RAN1]; and</w:t>
            </w:r>
          </w:p>
          <w:p w14:paraId="1F23BDC6" w14:textId="04ADD91E" w:rsidR="00005302" w:rsidRPr="00005302" w:rsidRDefault="00005302" w:rsidP="009F1A8D">
            <w:pPr>
              <w:numPr>
                <w:ilvl w:val="0"/>
                <w:numId w:val="14"/>
              </w:numPr>
              <w:overflowPunct w:val="0"/>
              <w:autoSpaceDE w:val="0"/>
              <w:autoSpaceDN w:val="0"/>
              <w:adjustRightInd w:val="0"/>
              <w:jc w:val="left"/>
              <w:textAlignment w:val="baseline"/>
              <w:rPr>
                <w:rFonts w:ascii="Times New Roman" w:hAnsi="Times New Roman" w:cs="Times New Roman"/>
                <w:lang w:val="en-US" w:eastAsia="ko-KR"/>
              </w:rPr>
            </w:pPr>
            <w:r w:rsidRPr="00005302">
              <w:rPr>
                <w:rFonts w:ascii="Times New Roman" w:hAnsi="Times New Roman" w:cs="Times New Roman"/>
                <w:lang w:val="en-US" w:eastAsia="ko-KR"/>
              </w:rPr>
              <w:t>Sidelink mode 3-</w:t>
            </w:r>
            <w:r w:rsidRPr="005D1637">
              <w:rPr>
                <w:rFonts w:ascii="Times New Roman" w:hAnsi="Times New Roman" w:cs="Times New Roman"/>
                <w:lang w:val="en-US" w:eastAsia="ko-KR"/>
              </w:rPr>
              <w:t>like RRC-configured SPS scheduling with</w:t>
            </w:r>
            <w:r w:rsidRPr="00005302">
              <w:rPr>
                <w:rFonts w:ascii="Times New Roman" w:hAnsi="Times New Roman" w:cs="Times New Roman"/>
                <w:lang w:val="en-US" w:eastAsia="ko-KR"/>
              </w:rPr>
              <w:t xml:space="preserve"> either RRC-based activation</w:t>
            </w:r>
            <w:r w:rsidR="009F1A8D">
              <w:rPr>
                <w:rFonts w:ascii="Times New Roman" w:hAnsi="Times New Roman" w:cs="Times New Roman"/>
                <w:lang w:val="en-US" w:eastAsia="ko-KR"/>
              </w:rPr>
              <w:t xml:space="preserve"> </w:t>
            </w:r>
            <w:r w:rsidRPr="00005302">
              <w:rPr>
                <w:rFonts w:ascii="Times New Roman" w:hAnsi="Times New Roman" w:cs="Times New Roman"/>
                <w:lang w:val="en-US" w:eastAsia="ko-KR"/>
              </w:rPr>
              <w:t>/</w:t>
            </w:r>
            <w:r w:rsidR="009F1A8D">
              <w:rPr>
                <w:rFonts w:ascii="Times New Roman" w:hAnsi="Times New Roman" w:cs="Times New Roman"/>
                <w:lang w:val="en-US" w:eastAsia="ko-KR"/>
              </w:rPr>
              <w:t xml:space="preserve"> </w:t>
            </w:r>
            <w:r w:rsidRPr="00005302">
              <w:rPr>
                <w:rFonts w:ascii="Times New Roman" w:hAnsi="Times New Roman" w:cs="Times New Roman"/>
                <w:lang w:val="en-US" w:eastAsia="ko-KR"/>
              </w:rPr>
              <w:t>deactivation as per the study outcome or DCI-based activation/deactivation [RAN1, RAN2].</w:t>
            </w:r>
          </w:p>
          <w:p w14:paraId="535E5C85" w14:textId="122D7417" w:rsidR="002F480D" w:rsidRPr="00005302" w:rsidRDefault="00005302" w:rsidP="00005302">
            <w:pPr>
              <w:pStyle w:val="ListParagraph"/>
              <w:numPr>
                <w:ilvl w:val="1"/>
                <w:numId w:val="14"/>
              </w:numPr>
              <w:wordWrap w:val="0"/>
              <w:overflowPunct w:val="0"/>
              <w:autoSpaceDE w:val="0"/>
              <w:autoSpaceDN w:val="0"/>
              <w:adjustRightInd w:val="0"/>
              <w:spacing w:after="60"/>
              <w:ind w:leftChars="0"/>
              <w:contextualSpacing/>
              <w:jc w:val="both"/>
              <w:textAlignment w:val="baseline"/>
              <w:rPr>
                <w:rFonts w:ascii="Arial" w:hAnsi="Arial" w:cs="Arial"/>
                <w:sz w:val="21"/>
                <w:szCs w:val="21"/>
                <w:lang w:val="en-US" w:eastAsia="ko-KR"/>
              </w:rPr>
            </w:pPr>
            <w:r w:rsidRPr="00005302">
              <w:rPr>
                <w:rFonts w:ascii="Times New Roman" w:hAnsi="Times New Roman"/>
                <w:sz w:val="21"/>
                <w:szCs w:val="21"/>
                <w:lang w:val="en-US" w:eastAsia="ko-KR"/>
              </w:rPr>
              <w:t>RAN1 to make a decision on which option is supported until RAN#84.</w:t>
            </w:r>
          </w:p>
        </w:tc>
      </w:tr>
    </w:tbl>
    <w:p w14:paraId="18799F84" w14:textId="3260D147" w:rsidR="002F480D" w:rsidRDefault="002F480D" w:rsidP="002F480D">
      <w:pPr>
        <w:pStyle w:val="BodyText"/>
        <w:rPr>
          <w:color w:val="auto"/>
        </w:rPr>
      </w:pPr>
    </w:p>
    <w:p w14:paraId="3C00C2B4" w14:textId="15E54783" w:rsidR="00005302" w:rsidRDefault="00227A56" w:rsidP="00005302">
      <w:pPr>
        <w:pStyle w:val="BodyText"/>
        <w:rPr>
          <w:color w:val="auto"/>
          <w:sz w:val="20"/>
        </w:rPr>
      </w:pPr>
      <w:r w:rsidRPr="005D1637">
        <w:rPr>
          <w:color w:val="auto"/>
          <w:sz w:val="20"/>
        </w:rPr>
        <w:t>During RAN1#96</w:t>
      </w:r>
      <w:r w:rsidR="002B2204">
        <w:rPr>
          <w:color w:val="auto"/>
          <w:sz w:val="20"/>
        </w:rPr>
        <w:t>bis</w:t>
      </w:r>
      <w:r w:rsidR="00316B82" w:rsidRPr="005D1637">
        <w:rPr>
          <w:color w:val="auto"/>
          <w:sz w:val="20"/>
        </w:rPr>
        <w:t xml:space="preserve"> meeting</w:t>
      </w:r>
      <w:r w:rsidRPr="005D1637">
        <w:rPr>
          <w:color w:val="auto"/>
          <w:sz w:val="20"/>
        </w:rPr>
        <w:t xml:space="preserve">, </w:t>
      </w:r>
      <w:r w:rsidR="002B2204">
        <w:rPr>
          <w:color w:val="auto"/>
          <w:sz w:val="20"/>
        </w:rPr>
        <w:t>benefits and drawbacks of DCI-based and RRC-based activation/release of configured SPS processes were discussed but there was no consensus on which mechanism to adopt mainly due to unclear criteria to make a decision.</w:t>
      </w:r>
      <w:r w:rsidR="00316B82" w:rsidRPr="005D1637">
        <w:rPr>
          <w:color w:val="auto"/>
          <w:sz w:val="20"/>
        </w:rPr>
        <w:t xml:space="preserve"> </w:t>
      </w:r>
      <w:r w:rsidR="002B2204">
        <w:rPr>
          <w:color w:val="auto"/>
          <w:sz w:val="20"/>
        </w:rPr>
        <w:t>It was then agreed</w:t>
      </w:r>
      <w:r w:rsidR="00B86FC5">
        <w:rPr>
          <w:color w:val="auto"/>
          <w:sz w:val="20"/>
        </w:rPr>
        <w:t xml:space="preserve"> to further study according to the following.</w:t>
      </w:r>
    </w:p>
    <w:p w14:paraId="17F5284F" w14:textId="77777777" w:rsidR="00B86FC5" w:rsidRPr="00B86FC5" w:rsidRDefault="00B86FC5" w:rsidP="00005302">
      <w:pPr>
        <w:pStyle w:val="BodyText"/>
        <w:rPr>
          <w:color w:val="auto"/>
          <w:sz w:val="20"/>
        </w:rPr>
      </w:pPr>
    </w:p>
    <w:tbl>
      <w:tblPr>
        <w:tblStyle w:val="TableGrid"/>
        <w:tblW w:w="0" w:type="auto"/>
        <w:tblLook w:val="04A0" w:firstRow="1" w:lastRow="0" w:firstColumn="1" w:lastColumn="0" w:noHBand="0" w:noVBand="1"/>
      </w:tblPr>
      <w:tblGrid>
        <w:gridCol w:w="9016"/>
      </w:tblGrid>
      <w:tr w:rsidR="00005302" w14:paraId="1FD0F768" w14:textId="77777777" w:rsidTr="00404D39">
        <w:tc>
          <w:tcPr>
            <w:tcW w:w="9016" w:type="dxa"/>
          </w:tcPr>
          <w:p w14:paraId="41427B10" w14:textId="77777777" w:rsidR="00B86FC5" w:rsidRPr="00B86FC5" w:rsidRDefault="00B86FC5" w:rsidP="00B86FC5">
            <w:pPr>
              <w:spacing w:before="60"/>
              <w:rPr>
                <w:rFonts w:ascii="Times New Roman" w:hAnsi="Times New Roman" w:cs="Times New Roman"/>
                <w:b/>
              </w:rPr>
            </w:pPr>
            <w:r w:rsidRPr="00B86FC5">
              <w:rPr>
                <w:rFonts w:ascii="Times New Roman" w:hAnsi="Times New Roman" w:cs="Times New Roman"/>
                <w:b/>
                <w:highlight w:val="green"/>
              </w:rPr>
              <w:t>Agreements</w:t>
            </w:r>
            <w:r w:rsidRPr="00B86FC5">
              <w:rPr>
                <w:rFonts w:ascii="Times New Roman" w:hAnsi="Times New Roman" w:cs="Times New Roman"/>
                <w:b/>
              </w:rPr>
              <w:t>:</w:t>
            </w:r>
          </w:p>
          <w:p w14:paraId="2E77FB8A" w14:textId="77777777" w:rsidR="00B86FC5" w:rsidRPr="00B86FC5" w:rsidRDefault="00B86FC5" w:rsidP="00B86FC5">
            <w:pPr>
              <w:rPr>
                <w:rFonts w:ascii="Times New Roman" w:hAnsi="Times New Roman" w:cs="Times New Roman"/>
              </w:rPr>
            </w:pPr>
            <w:r w:rsidRPr="00B86FC5">
              <w:rPr>
                <w:rFonts w:ascii="Times New Roman" w:hAnsi="Times New Roman" w:cs="Times New Roman"/>
              </w:rPr>
              <w:t>Regarding RRC-based versus DCI-based activation/release of LTE sidelink SPS, RAN1 agrees to make the choice on the basis of at least:</w:t>
            </w:r>
          </w:p>
          <w:p w14:paraId="4BF9B818" w14:textId="77777777" w:rsidR="00B86FC5" w:rsidRPr="00B86FC5" w:rsidRDefault="00B86FC5" w:rsidP="00B86FC5">
            <w:pPr>
              <w:pStyle w:val="ListParagraph"/>
              <w:numPr>
                <w:ilvl w:val="0"/>
                <w:numId w:val="14"/>
              </w:numPr>
              <w:ind w:leftChars="0"/>
              <w:jc w:val="both"/>
              <w:rPr>
                <w:rFonts w:ascii="Times New Roman" w:hAnsi="Times New Roman"/>
                <w:sz w:val="21"/>
                <w:szCs w:val="21"/>
                <w:lang w:val="en-US"/>
              </w:rPr>
            </w:pPr>
            <w:r w:rsidRPr="00B86FC5">
              <w:rPr>
                <w:rFonts w:ascii="Times New Roman" w:hAnsi="Times New Roman"/>
                <w:sz w:val="21"/>
                <w:szCs w:val="21"/>
                <w:lang w:val="en-US"/>
              </w:rPr>
              <w:t>Spec impact</w:t>
            </w:r>
          </w:p>
          <w:p w14:paraId="46185E30" w14:textId="77777777" w:rsidR="00B86FC5" w:rsidRPr="00B86FC5" w:rsidRDefault="00B86FC5" w:rsidP="00B86FC5">
            <w:pPr>
              <w:pStyle w:val="ListParagraph"/>
              <w:numPr>
                <w:ilvl w:val="0"/>
                <w:numId w:val="14"/>
              </w:numPr>
              <w:ind w:leftChars="0"/>
              <w:jc w:val="both"/>
              <w:rPr>
                <w:rFonts w:ascii="Times New Roman" w:hAnsi="Times New Roman"/>
                <w:sz w:val="21"/>
                <w:szCs w:val="21"/>
                <w:lang w:val="en-US"/>
              </w:rPr>
            </w:pPr>
            <w:r w:rsidRPr="00B86FC5">
              <w:rPr>
                <w:rFonts w:ascii="Times New Roman" w:hAnsi="Times New Roman"/>
                <w:sz w:val="21"/>
                <w:szCs w:val="21"/>
                <w:lang w:val="en-US"/>
              </w:rPr>
              <w:t>Flexibility</w:t>
            </w:r>
          </w:p>
          <w:p w14:paraId="2FE23FBD" w14:textId="77777777" w:rsidR="00B86FC5" w:rsidRPr="00B86FC5" w:rsidRDefault="00B86FC5" w:rsidP="00B86FC5">
            <w:pPr>
              <w:pStyle w:val="ListParagraph"/>
              <w:numPr>
                <w:ilvl w:val="0"/>
                <w:numId w:val="14"/>
              </w:numPr>
              <w:ind w:leftChars="0"/>
              <w:jc w:val="both"/>
              <w:rPr>
                <w:rFonts w:ascii="Times New Roman" w:hAnsi="Times New Roman"/>
                <w:sz w:val="21"/>
                <w:szCs w:val="21"/>
                <w:lang w:val="en-US"/>
              </w:rPr>
            </w:pPr>
            <w:r w:rsidRPr="00B86FC5">
              <w:rPr>
                <w:rFonts w:ascii="Times New Roman" w:hAnsi="Times New Roman"/>
                <w:sz w:val="21"/>
                <w:szCs w:val="21"/>
                <w:lang w:val="en-US"/>
              </w:rPr>
              <w:t>Performance, including latency</w:t>
            </w:r>
          </w:p>
          <w:p w14:paraId="15B40982" w14:textId="77777777" w:rsidR="00B86FC5" w:rsidRPr="00B86FC5" w:rsidRDefault="00B86FC5" w:rsidP="00B86FC5">
            <w:pPr>
              <w:pStyle w:val="ListParagraph"/>
              <w:numPr>
                <w:ilvl w:val="0"/>
                <w:numId w:val="14"/>
              </w:numPr>
              <w:ind w:leftChars="0"/>
              <w:jc w:val="both"/>
              <w:rPr>
                <w:rFonts w:ascii="Times New Roman" w:hAnsi="Times New Roman"/>
                <w:sz w:val="21"/>
                <w:szCs w:val="21"/>
                <w:lang w:val="en-US"/>
              </w:rPr>
            </w:pPr>
            <w:r w:rsidRPr="00B86FC5">
              <w:rPr>
                <w:rFonts w:ascii="Times New Roman" w:hAnsi="Times New Roman"/>
                <w:sz w:val="21"/>
                <w:szCs w:val="21"/>
                <w:lang w:val="en-US"/>
              </w:rPr>
              <w:t>Implementation complexity</w:t>
            </w:r>
          </w:p>
          <w:p w14:paraId="34118967" w14:textId="4407EB5F" w:rsidR="00005302" w:rsidRPr="00B86FC5" w:rsidRDefault="00B86FC5" w:rsidP="00B86FC5">
            <w:pPr>
              <w:pStyle w:val="ListParagraph"/>
              <w:numPr>
                <w:ilvl w:val="0"/>
                <w:numId w:val="14"/>
              </w:numPr>
              <w:spacing w:after="60"/>
              <w:ind w:leftChars="0"/>
              <w:jc w:val="both"/>
              <w:rPr>
                <w:rFonts w:ascii="Times New Roman" w:hAnsi="Times New Roman"/>
                <w:szCs w:val="20"/>
                <w:lang w:val="en-US"/>
              </w:rPr>
            </w:pPr>
            <w:r w:rsidRPr="00B86FC5">
              <w:rPr>
                <w:rFonts w:ascii="Times New Roman" w:hAnsi="Times New Roman"/>
                <w:sz w:val="21"/>
                <w:szCs w:val="21"/>
                <w:lang w:val="en-US"/>
              </w:rPr>
              <w:t>Timing of the activation/deactivation</w:t>
            </w:r>
          </w:p>
        </w:tc>
      </w:tr>
    </w:tbl>
    <w:p w14:paraId="2EB01318" w14:textId="77777777" w:rsidR="00005302" w:rsidRDefault="00005302" w:rsidP="00005302">
      <w:pPr>
        <w:pStyle w:val="BodyText"/>
        <w:rPr>
          <w:color w:val="auto"/>
        </w:rPr>
      </w:pPr>
    </w:p>
    <w:p w14:paraId="47494C83" w14:textId="2C4774FE" w:rsidR="00005302" w:rsidRPr="00563CA3" w:rsidRDefault="00005302" w:rsidP="002F480D">
      <w:pPr>
        <w:pStyle w:val="BodyText"/>
        <w:rPr>
          <w:color w:val="auto"/>
          <w:sz w:val="20"/>
        </w:rPr>
      </w:pPr>
      <w:r w:rsidRPr="00563CA3">
        <w:rPr>
          <w:color w:val="auto"/>
          <w:sz w:val="20"/>
        </w:rPr>
        <w:t xml:space="preserve">In this contribution, </w:t>
      </w:r>
      <w:r w:rsidR="005D1637" w:rsidRPr="00563CA3">
        <w:rPr>
          <w:color w:val="auto"/>
          <w:sz w:val="20"/>
        </w:rPr>
        <w:t xml:space="preserve">we provide discussions and views on mechanisms to support NR Uu controlling LTE sidelink in both mode 4 and mode-3 like </w:t>
      </w:r>
      <w:r w:rsidR="00563CA3" w:rsidRPr="00563CA3">
        <w:rPr>
          <w:color w:val="auto"/>
          <w:sz w:val="20"/>
        </w:rPr>
        <w:t>operations as per instruction in the WID [1]</w:t>
      </w:r>
      <w:r w:rsidR="00B86FC5">
        <w:rPr>
          <w:color w:val="auto"/>
          <w:sz w:val="20"/>
        </w:rPr>
        <w:t xml:space="preserve"> and last RAN1#96bis agreement [2]</w:t>
      </w:r>
      <w:r w:rsidR="00563CA3" w:rsidRPr="00563CA3">
        <w:rPr>
          <w:color w:val="auto"/>
          <w:sz w:val="20"/>
        </w:rPr>
        <w:t>.</w:t>
      </w:r>
    </w:p>
    <w:p w14:paraId="107E9807" w14:textId="77777777" w:rsidR="00005302" w:rsidRPr="00F43AB1" w:rsidRDefault="00005302" w:rsidP="002F480D">
      <w:pPr>
        <w:pStyle w:val="BodyText"/>
        <w:rPr>
          <w:color w:val="auto"/>
        </w:rPr>
      </w:pPr>
    </w:p>
    <w:p w14:paraId="2DDFB004" w14:textId="77777777" w:rsidR="00BC0557" w:rsidRPr="00BC0557" w:rsidRDefault="00BC0557" w:rsidP="00BC0557">
      <w:pPr>
        <w:spacing w:after="120"/>
        <w:rPr>
          <w:b/>
          <w:sz w:val="22"/>
        </w:rPr>
      </w:pPr>
      <w:r w:rsidRPr="00BC0557">
        <w:rPr>
          <w:b/>
          <w:sz w:val="22"/>
        </w:rPr>
        <w:t>2. Discussion</w:t>
      </w:r>
    </w:p>
    <w:p w14:paraId="0FD5B815" w14:textId="7DCF365F" w:rsidR="003C70F9" w:rsidRPr="00160871" w:rsidRDefault="003C70F9" w:rsidP="004A03BC">
      <w:pPr>
        <w:pStyle w:val="BodyText"/>
        <w:rPr>
          <w:color w:val="auto"/>
          <w:sz w:val="20"/>
          <w:szCs w:val="20"/>
        </w:rPr>
      </w:pPr>
      <w:r w:rsidRPr="00563CA3">
        <w:rPr>
          <w:color w:val="auto"/>
          <w:sz w:val="20"/>
          <w:szCs w:val="20"/>
        </w:rPr>
        <w:t xml:space="preserve">In the existing LTE sidelink when under </w:t>
      </w:r>
      <w:r w:rsidR="00867E6A" w:rsidRPr="00563CA3">
        <w:rPr>
          <w:color w:val="auto"/>
          <w:sz w:val="20"/>
          <w:szCs w:val="20"/>
        </w:rPr>
        <w:t xml:space="preserve">LTE </w:t>
      </w:r>
      <w:r w:rsidRPr="00563CA3">
        <w:rPr>
          <w:color w:val="auto"/>
          <w:sz w:val="20"/>
          <w:szCs w:val="20"/>
        </w:rPr>
        <w:t xml:space="preserve">network control, resource pools for mode 3 operation are </w:t>
      </w:r>
      <w:r w:rsidR="00867E6A" w:rsidRPr="00563CA3">
        <w:rPr>
          <w:color w:val="auto"/>
          <w:sz w:val="20"/>
          <w:szCs w:val="20"/>
        </w:rPr>
        <w:t xml:space="preserve">configured using dedicated RRC signalling and resource pools for mode 4 can be configured using </w:t>
      </w:r>
      <w:r w:rsidR="00E15ABB">
        <w:rPr>
          <w:color w:val="auto"/>
          <w:sz w:val="20"/>
          <w:szCs w:val="20"/>
        </w:rPr>
        <w:t xml:space="preserve">either or </w:t>
      </w:r>
      <w:r w:rsidR="00867E6A" w:rsidRPr="00563CA3">
        <w:rPr>
          <w:color w:val="auto"/>
          <w:sz w:val="20"/>
          <w:szCs w:val="20"/>
        </w:rPr>
        <w:t xml:space="preserve">both common and dedicated RRC signalling. To continue </w:t>
      </w:r>
      <w:r w:rsidR="00E15ABB">
        <w:rPr>
          <w:color w:val="auto"/>
          <w:sz w:val="20"/>
          <w:szCs w:val="20"/>
        </w:rPr>
        <w:t xml:space="preserve">the </w:t>
      </w:r>
      <w:r w:rsidR="00867E6A" w:rsidRPr="00563CA3">
        <w:rPr>
          <w:color w:val="auto"/>
          <w:sz w:val="20"/>
          <w:szCs w:val="20"/>
        </w:rPr>
        <w:t>support</w:t>
      </w:r>
      <w:r w:rsidR="00E15ABB">
        <w:rPr>
          <w:color w:val="auto"/>
          <w:sz w:val="20"/>
          <w:szCs w:val="20"/>
        </w:rPr>
        <w:t xml:space="preserve"> of</w:t>
      </w:r>
      <w:r w:rsidR="00867E6A" w:rsidRPr="00563CA3">
        <w:rPr>
          <w:color w:val="auto"/>
          <w:sz w:val="20"/>
          <w:szCs w:val="20"/>
        </w:rPr>
        <w:t xml:space="preserve"> LTE sidelink mode 4 </w:t>
      </w:r>
      <w:r w:rsidR="00867E6A" w:rsidRPr="00160871">
        <w:rPr>
          <w:color w:val="auto"/>
          <w:sz w:val="20"/>
          <w:szCs w:val="20"/>
        </w:rPr>
        <w:t xml:space="preserve">operation following the same manner </w:t>
      </w:r>
      <w:r w:rsidR="00F74466">
        <w:rPr>
          <w:color w:val="auto"/>
          <w:sz w:val="20"/>
          <w:szCs w:val="20"/>
        </w:rPr>
        <w:t xml:space="preserve">when </w:t>
      </w:r>
      <w:r w:rsidR="00867E6A" w:rsidRPr="00160871">
        <w:rPr>
          <w:color w:val="auto"/>
          <w:sz w:val="20"/>
          <w:szCs w:val="20"/>
        </w:rPr>
        <w:t>under NR network control, a new NR-</w:t>
      </w:r>
      <w:proofErr w:type="spellStart"/>
      <w:r w:rsidR="00867E6A" w:rsidRPr="00160871">
        <w:rPr>
          <w:color w:val="auto"/>
          <w:sz w:val="20"/>
          <w:szCs w:val="20"/>
        </w:rPr>
        <w:t>SIBx</w:t>
      </w:r>
      <w:proofErr w:type="spellEnd"/>
      <w:r w:rsidR="00867E6A" w:rsidRPr="00160871">
        <w:rPr>
          <w:color w:val="auto"/>
          <w:sz w:val="20"/>
          <w:szCs w:val="20"/>
        </w:rPr>
        <w:t xml:space="preserve"> should be created for common RRC configuration of resource pools</w:t>
      </w:r>
      <w:r w:rsidR="00E15ABB" w:rsidRPr="00160871">
        <w:rPr>
          <w:color w:val="auto"/>
          <w:sz w:val="20"/>
          <w:szCs w:val="20"/>
        </w:rPr>
        <w:t xml:space="preserve"> for RRC_IDLE UEs</w:t>
      </w:r>
      <w:r w:rsidR="00867E6A" w:rsidRPr="00160871">
        <w:rPr>
          <w:color w:val="auto"/>
          <w:sz w:val="20"/>
          <w:szCs w:val="20"/>
        </w:rPr>
        <w:t xml:space="preserve">, as well as </w:t>
      </w:r>
      <w:r w:rsidR="00E15ABB" w:rsidRPr="00160871">
        <w:rPr>
          <w:color w:val="auto"/>
          <w:sz w:val="20"/>
          <w:szCs w:val="20"/>
        </w:rPr>
        <w:t>dedicated RRC configuration for RRC_CONNECTED UEs</w:t>
      </w:r>
      <w:r w:rsidR="00867E6A" w:rsidRPr="00160871">
        <w:rPr>
          <w:color w:val="auto"/>
          <w:sz w:val="20"/>
          <w:szCs w:val="20"/>
        </w:rPr>
        <w:t>.</w:t>
      </w:r>
    </w:p>
    <w:p w14:paraId="2F6354A5" w14:textId="340E0F4C" w:rsidR="003C70F9" w:rsidRDefault="003C70F9" w:rsidP="004A03BC">
      <w:pPr>
        <w:pStyle w:val="BodyText"/>
        <w:rPr>
          <w:sz w:val="20"/>
          <w:szCs w:val="20"/>
        </w:rPr>
      </w:pPr>
    </w:p>
    <w:p w14:paraId="008FDFF0" w14:textId="4C511EE0" w:rsidR="00F74466" w:rsidRPr="007E4754" w:rsidRDefault="00F74466" w:rsidP="00F74466">
      <w:pPr>
        <w:pStyle w:val="BodyText"/>
        <w:rPr>
          <w:b/>
          <w:i/>
          <w:color w:val="auto"/>
          <w:sz w:val="20"/>
          <w:szCs w:val="20"/>
        </w:rPr>
      </w:pPr>
      <w:r w:rsidRPr="007E4754">
        <w:rPr>
          <w:b/>
          <w:i/>
          <w:color w:val="auto"/>
          <w:sz w:val="20"/>
          <w:szCs w:val="20"/>
        </w:rPr>
        <w:t xml:space="preserve">Proposal 1: In order to support existing LTE sidelink operations in mode 4 in </w:t>
      </w:r>
      <w:r w:rsidR="007E4754" w:rsidRPr="007E4754">
        <w:rPr>
          <w:b/>
          <w:i/>
          <w:color w:val="auto"/>
          <w:sz w:val="20"/>
          <w:szCs w:val="20"/>
        </w:rPr>
        <w:t xml:space="preserve">a </w:t>
      </w:r>
      <w:r w:rsidRPr="007E4754">
        <w:rPr>
          <w:b/>
          <w:i/>
          <w:color w:val="auto"/>
          <w:sz w:val="20"/>
          <w:szCs w:val="20"/>
        </w:rPr>
        <w:t>same manner when under NR Uu control, it is proposed that both common NR RRC (e.g. via a new NR-</w:t>
      </w:r>
      <w:proofErr w:type="spellStart"/>
      <w:r w:rsidRPr="007E4754">
        <w:rPr>
          <w:b/>
          <w:i/>
          <w:color w:val="auto"/>
          <w:sz w:val="20"/>
          <w:szCs w:val="20"/>
        </w:rPr>
        <w:t>SIBx</w:t>
      </w:r>
      <w:proofErr w:type="spellEnd"/>
      <w:r w:rsidRPr="007E4754">
        <w:rPr>
          <w:b/>
          <w:i/>
          <w:color w:val="auto"/>
          <w:sz w:val="20"/>
          <w:szCs w:val="20"/>
        </w:rPr>
        <w:t>) and dedicated NR RRC signalling</w:t>
      </w:r>
      <w:r w:rsidR="007E4754" w:rsidRPr="007E4754">
        <w:rPr>
          <w:b/>
          <w:i/>
          <w:color w:val="auto"/>
          <w:sz w:val="20"/>
          <w:szCs w:val="20"/>
        </w:rPr>
        <w:t xml:space="preserve"> should be supported.</w:t>
      </w:r>
    </w:p>
    <w:p w14:paraId="118042D0" w14:textId="77777777" w:rsidR="00F74466" w:rsidRDefault="00F74466" w:rsidP="004A03BC">
      <w:pPr>
        <w:pStyle w:val="BodyText"/>
        <w:rPr>
          <w:sz w:val="20"/>
          <w:szCs w:val="20"/>
        </w:rPr>
      </w:pPr>
    </w:p>
    <w:p w14:paraId="084503EE" w14:textId="48904C3E" w:rsidR="00B74019" w:rsidRDefault="00B74019" w:rsidP="004A03BC">
      <w:pPr>
        <w:pStyle w:val="BodyText"/>
        <w:rPr>
          <w:color w:val="auto"/>
          <w:sz w:val="20"/>
          <w:szCs w:val="20"/>
        </w:rPr>
      </w:pPr>
      <w:r w:rsidRPr="00B74019">
        <w:rPr>
          <w:color w:val="auto"/>
          <w:sz w:val="20"/>
          <w:szCs w:val="20"/>
        </w:rPr>
        <w:t>Regarding RRC-based versus DCI-based activation/release of LTE sidelink SPS</w:t>
      </w:r>
      <w:r>
        <w:rPr>
          <w:color w:val="auto"/>
          <w:sz w:val="20"/>
          <w:szCs w:val="20"/>
        </w:rPr>
        <w:t xml:space="preserve">, </w:t>
      </w:r>
      <w:r w:rsidR="00173177">
        <w:rPr>
          <w:color w:val="auto"/>
          <w:sz w:val="20"/>
          <w:szCs w:val="20"/>
        </w:rPr>
        <w:t>comparison between based on the set of agreed criteria are provided in the following.</w:t>
      </w:r>
    </w:p>
    <w:p w14:paraId="6F83F15D" w14:textId="77777777" w:rsidR="00173177" w:rsidRDefault="00173177" w:rsidP="004A03BC">
      <w:pPr>
        <w:pStyle w:val="BodyText"/>
        <w:rPr>
          <w:color w:val="auto"/>
          <w:sz w:val="20"/>
          <w:szCs w:val="20"/>
        </w:rPr>
      </w:pPr>
    </w:p>
    <w:tbl>
      <w:tblPr>
        <w:tblStyle w:val="TableGrid"/>
        <w:tblW w:w="0" w:type="auto"/>
        <w:tblLook w:val="04A0" w:firstRow="1" w:lastRow="0" w:firstColumn="1" w:lastColumn="0" w:noHBand="0" w:noVBand="1"/>
      </w:tblPr>
      <w:tblGrid>
        <w:gridCol w:w="2184"/>
        <w:gridCol w:w="2914"/>
        <w:gridCol w:w="3918"/>
      </w:tblGrid>
      <w:tr w:rsidR="00173177" w14:paraId="13A7C04D" w14:textId="77777777" w:rsidTr="00782909">
        <w:tc>
          <w:tcPr>
            <w:tcW w:w="2184" w:type="dxa"/>
          </w:tcPr>
          <w:p w14:paraId="56EDD98E" w14:textId="77777777" w:rsidR="00173177" w:rsidRDefault="00173177" w:rsidP="004A03BC">
            <w:pPr>
              <w:pStyle w:val="BodyText"/>
              <w:rPr>
                <w:color w:val="auto"/>
                <w:sz w:val="20"/>
                <w:szCs w:val="20"/>
              </w:rPr>
            </w:pPr>
          </w:p>
        </w:tc>
        <w:tc>
          <w:tcPr>
            <w:tcW w:w="2914" w:type="dxa"/>
            <w:vAlign w:val="center"/>
          </w:tcPr>
          <w:p w14:paraId="7DBFF479" w14:textId="6AB9DDC6" w:rsidR="00173177" w:rsidRDefault="00173177" w:rsidP="00173177">
            <w:pPr>
              <w:pStyle w:val="BodyText"/>
              <w:jc w:val="left"/>
              <w:rPr>
                <w:color w:val="auto"/>
                <w:sz w:val="20"/>
                <w:szCs w:val="20"/>
              </w:rPr>
            </w:pPr>
            <w:r>
              <w:rPr>
                <w:color w:val="auto"/>
                <w:sz w:val="20"/>
                <w:szCs w:val="20"/>
              </w:rPr>
              <w:t>DCI-based</w:t>
            </w:r>
          </w:p>
        </w:tc>
        <w:tc>
          <w:tcPr>
            <w:tcW w:w="3918" w:type="dxa"/>
            <w:vAlign w:val="center"/>
          </w:tcPr>
          <w:p w14:paraId="4812C8A2" w14:textId="6A0CF925" w:rsidR="00173177" w:rsidRDefault="00173177" w:rsidP="00173177">
            <w:pPr>
              <w:pStyle w:val="BodyText"/>
              <w:jc w:val="left"/>
              <w:rPr>
                <w:color w:val="auto"/>
                <w:sz w:val="20"/>
                <w:szCs w:val="20"/>
              </w:rPr>
            </w:pPr>
            <w:r>
              <w:rPr>
                <w:color w:val="auto"/>
                <w:sz w:val="20"/>
                <w:szCs w:val="20"/>
              </w:rPr>
              <w:t>RRC-based</w:t>
            </w:r>
          </w:p>
        </w:tc>
      </w:tr>
      <w:tr w:rsidR="00173177" w14:paraId="4E5024E0" w14:textId="77777777" w:rsidTr="00782909">
        <w:tc>
          <w:tcPr>
            <w:tcW w:w="2184" w:type="dxa"/>
          </w:tcPr>
          <w:p w14:paraId="25890E76" w14:textId="6A81C58D" w:rsidR="00173177" w:rsidRDefault="00173177" w:rsidP="00173177">
            <w:pPr>
              <w:pStyle w:val="BodyText"/>
              <w:jc w:val="left"/>
              <w:rPr>
                <w:color w:val="auto"/>
                <w:sz w:val="20"/>
                <w:szCs w:val="20"/>
              </w:rPr>
            </w:pPr>
            <w:r>
              <w:rPr>
                <w:color w:val="auto"/>
                <w:sz w:val="20"/>
                <w:szCs w:val="20"/>
              </w:rPr>
              <w:t>Spec impact</w:t>
            </w:r>
          </w:p>
        </w:tc>
        <w:tc>
          <w:tcPr>
            <w:tcW w:w="2914" w:type="dxa"/>
            <w:vAlign w:val="center"/>
          </w:tcPr>
          <w:p w14:paraId="49B8A4DB" w14:textId="40B6DB7F" w:rsidR="00173177" w:rsidRDefault="00D064B6" w:rsidP="00D064B6">
            <w:pPr>
              <w:pStyle w:val="BodyText"/>
              <w:numPr>
                <w:ilvl w:val="0"/>
                <w:numId w:val="14"/>
              </w:numPr>
              <w:ind w:left="315" w:hanging="218"/>
              <w:jc w:val="left"/>
              <w:rPr>
                <w:color w:val="auto"/>
                <w:sz w:val="20"/>
                <w:szCs w:val="20"/>
              </w:rPr>
            </w:pPr>
            <w:r>
              <w:rPr>
                <w:color w:val="auto"/>
                <w:sz w:val="20"/>
                <w:szCs w:val="20"/>
              </w:rPr>
              <w:t>LTE: update of activation / release timing to take into account of inter-RAT signalling exchange time 36.213</w:t>
            </w:r>
          </w:p>
          <w:p w14:paraId="15FC7918" w14:textId="0C7FEFD6" w:rsidR="00D064B6" w:rsidRDefault="00D064B6" w:rsidP="00D064B6">
            <w:pPr>
              <w:pStyle w:val="BodyText"/>
              <w:numPr>
                <w:ilvl w:val="0"/>
                <w:numId w:val="14"/>
              </w:numPr>
              <w:ind w:left="315" w:hanging="218"/>
              <w:jc w:val="left"/>
              <w:rPr>
                <w:color w:val="auto"/>
                <w:sz w:val="20"/>
                <w:szCs w:val="20"/>
              </w:rPr>
            </w:pPr>
            <w:r>
              <w:rPr>
                <w:color w:val="auto"/>
                <w:sz w:val="20"/>
                <w:szCs w:val="20"/>
              </w:rPr>
              <w:t xml:space="preserve">NR: </w:t>
            </w:r>
            <w:r w:rsidRPr="00D064B6">
              <w:rPr>
                <w:color w:val="auto"/>
                <w:sz w:val="20"/>
                <w:szCs w:val="20"/>
              </w:rPr>
              <w:t>Common DCI format design between NR and LTE</w:t>
            </w:r>
          </w:p>
        </w:tc>
        <w:tc>
          <w:tcPr>
            <w:tcW w:w="3918" w:type="dxa"/>
            <w:vAlign w:val="center"/>
          </w:tcPr>
          <w:p w14:paraId="60898021" w14:textId="6DA02407" w:rsidR="00173177" w:rsidRDefault="00173177" w:rsidP="00173177">
            <w:pPr>
              <w:pStyle w:val="BodyText"/>
              <w:jc w:val="left"/>
              <w:rPr>
                <w:color w:val="auto"/>
                <w:sz w:val="20"/>
                <w:szCs w:val="20"/>
              </w:rPr>
            </w:pPr>
            <w:r>
              <w:rPr>
                <w:color w:val="auto"/>
                <w:sz w:val="20"/>
                <w:szCs w:val="20"/>
              </w:rPr>
              <w:t>Large LTE spec impact in R1 and R2:</w:t>
            </w:r>
          </w:p>
          <w:p w14:paraId="05B62F3F" w14:textId="38F68C42" w:rsidR="00173177" w:rsidRDefault="00782909" w:rsidP="00173177">
            <w:pPr>
              <w:pStyle w:val="BodyText"/>
              <w:numPr>
                <w:ilvl w:val="0"/>
                <w:numId w:val="14"/>
              </w:numPr>
              <w:ind w:left="315" w:hanging="218"/>
              <w:jc w:val="left"/>
              <w:rPr>
                <w:color w:val="auto"/>
                <w:sz w:val="20"/>
                <w:szCs w:val="20"/>
              </w:rPr>
            </w:pPr>
            <w:r>
              <w:rPr>
                <w:color w:val="auto"/>
                <w:sz w:val="20"/>
                <w:szCs w:val="20"/>
              </w:rPr>
              <w:t>N</w:t>
            </w:r>
            <w:r w:rsidR="00173177">
              <w:rPr>
                <w:color w:val="auto"/>
                <w:sz w:val="20"/>
                <w:szCs w:val="20"/>
              </w:rPr>
              <w:t>ew mode3-like behaviour based on RRC activation / release in 36.213</w:t>
            </w:r>
          </w:p>
          <w:p w14:paraId="1F9C0C04" w14:textId="77777777" w:rsidR="00D064B6" w:rsidRDefault="00782909" w:rsidP="00173177">
            <w:pPr>
              <w:pStyle w:val="BodyText"/>
              <w:numPr>
                <w:ilvl w:val="0"/>
                <w:numId w:val="14"/>
              </w:numPr>
              <w:ind w:left="315" w:hanging="218"/>
              <w:jc w:val="left"/>
              <w:rPr>
                <w:color w:val="auto"/>
                <w:sz w:val="20"/>
                <w:szCs w:val="20"/>
              </w:rPr>
            </w:pPr>
            <w:r>
              <w:rPr>
                <w:color w:val="auto"/>
                <w:sz w:val="20"/>
                <w:szCs w:val="20"/>
              </w:rPr>
              <w:t xml:space="preserve">New RRC signalling </w:t>
            </w:r>
            <w:r w:rsidR="00D064B6">
              <w:rPr>
                <w:color w:val="auto"/>
                <w:sz w:val="20"/>
                <w:szCs w:val="20"/>
              </w:rPr>
              <w:t>36.331</w:t>
            </w:r>
          </w:p>
          <w:p w14:paraId="14503B54" w14:textId="4757F46F" w:rsidR="00173177" w:rsidRDefault="00D064B6" w:rsidP="00173177">
            <w:pPr>
              <w:pStyle w:val="BodyText"/>
              <w:numPr>
                <w:ilvl w:val="0"/>
                <w:numId w:val="14"/>
              </w:numPr>
              <w:ind w:left="315" w:hanging="218"/>
              <w:jc w:val="left"/>
              <w:rPr>
                <w:color w:val="auto"/>
                <w:sz w:val="20"/>
                <w:szCs w:val="20"/>
              </w:rPr>
            </w:pPr>
            <w:r>
              <w:rPr>
                <w:color w:val="auto"/>
                <w:sz w:val="20"/>
                <w:szCs w:val="20"/>
              </w:rPr>
              <w:t>New behaviour / u</w:t>
            </w:r>
            <w:r w:rsidR="00782909">
              <w:rPr>
                <w:color w:val="auto"/>
                <w:sz w:val="20"/>
                <w:szCs w:val="20"/>
              </w:rPr>
              <w:t>pdate in 36.</w:t>
            </w:r>
            <w:r>
              <w:rPr>
                <w:color w:val="auto"/>
                <w:sz w:val="20"/>
                <w:szCs w:val="20"/>
              </w:rPr>
              <w:t>321 for activation / release by RRC</w:t>
            </w:r>
          </w:p>
          <w:p w14:paraId="11BE585A" w14:textId="52A3511B" w:rsidR="00782909" w:rsidRDefault="00D064B6" w:rsidP="00173177">
            <w:pPr>
              <w:pStyle w:val="BodyText"/>
              <w:numPr>
                <w:ilvl w:val="0"/>
                <w:numId w:val="14"/>
              </w:numPr>
              <w:ind w:left="315" w:hanging="218"/>
              <w:jc w:val="left"/>
              <w:rPr>
                <w:color w:val="auto"/>
                <w:sz w:val="20"/>
                <w:szCs w:val="20"/>
              </w:rPr>
            </w:pPr>
            <w:r>
              <w:rPr>
                <w:color w:val="auto"/>
                <w:sz w:val="20"/>
                <w:szCs w:val="20"/>
              </w:rPr>
              <w:t>[</w:t>
            </w:r>
            <w:r w:rsidR="00782909">
              <w:rPr>
                <w:color w:val="auto"/>
                <w:sz w:val="20"/>
                <w:szCs w:val="20"/>
              </w:rPr>
              <w:t xml:space="preserve">New </w:t>
            </w:r>
            <w:r>
              <w:rPr>
                <w:color w:val="auto"/>
                <w:sz w:val="20"/>
                <w:szCs w:val="20"/>
              </w:rPr>
              <w:t xml:space="preserve">UE </w:t>
            </w:r>
            <w:r w:rsidR="00782909">
              <w:rPr>
                <w:color w:val="auto"/>
                <w:sz w:val="20"/>
                <w:szCs w:val="20"/>
              </w:rPr>
              <w:t>capability in 36.306</w:t>
            </w:r>
            <w:r>
              <w:rPr>
                <w:color w:val="auto"/>
                <w:sz w:val="20"/>
                <w:szCs w:val="20"/>
              </w:rPr>
              <w:t>]</w:t>
            </w:r>
          </w:p>
        </w:tc>
      </w:tr>
      <w:tr w:rsidR="00173177" w14:paraId="67CCAA41" w14:textId="77777777" w:rsidTr="00782909">
        <w:tc>
          <w:tcPr>
            <w:tcW w:w="2184" w:type="dxa"/>
          </w:tcPr>
          <w:p w14:paraId="73A37758" w14:textId="08E37EE7" w:rsidR="00173177" w:rsidRDefault="00173177" w:rsidP="00173177">
            <w:pPr>
              <w:pStyle w:val="BodyText"/>
              <w:jc w:val="left"/>
              <w:rPr>
                <w:color w:val="auto"/>
                <w:sz w:val="20"/>
                <w:szCs w:val="20"/>
              </w:rPr>
            </w:pPr>
            <w:r>
              <w:rPr>
                <w:color w:val="auto"/>
                <w:sz w:val="20"/>
                <w:szCs w:val="20"/>
              </w:rPr>
              <w:t>Flexibility</w:t>
            </w:r>
          </w:p>
        </w:tc>
        <w:tc>
          <w:tcPr>
            <w:tcW w:w="2914" w:type="dxa"/>
            <w:vAlign w:val="center"/>
          </w:tcPr>
          <w:p w14:paraId="6126603B" w14:textId="1C7A03A3" w:rsidR="00173177" w:rsidRDefault="00782909" w:rsidP="00173177">
            <w:pPr>
              <w:pStyle w:val="BodyText"/>
              <w:jc w:val="left"/>
              <w:rPr>
                <w:color w:val="auto"/>
                <w:sz w:val="20"/>
                <w:szCs w:val="20"/>
              </w:rPr>
            </w:pPr>
            <w:r>
              <w:rPr>
                <w:color w:val="auto"/>
                <w:sz w:val="20"/>
                <w:szCs w:val="20"/>
              </w:rPr>
              <w:t>Activate / release one SPS process at a time</w:t>
            </w:r>
          </w:p>
        </w:tc>
        <w:tc>
          <w:tcPr>
            <w:tcW w:w="3918" w:type="dxa"/>
            <w:vAlign w:val="center"/>
          </w:tcPr>
          <w:p w14:paraId="18469B9E" w14:textId="23C40A43" w:rsidR="00173177" w:rsidRDefault="00782909" w:rsidP="00173177">
            <w:pPr>
              <w:pStyle w:val="BodyText"/>
              <w:jc w:val="left"/>
              <w:rPr>
                <w:color w:val="auto"/>
                <w:sz w:val="20"/>
                <w:szCs w:val="20"/>
              </w:rPr>
            </w:pPr>
            <w:r>
              <w:rPr>
                <w:color w:val="auto"/>
                <w:sz w:val="20"/>
                <w:szCs w:val="20"/>
              </w:rPr>
              <w:t>Potentially activate/release multiple SPS processes at a time during RRC reconfiguration. But the need for this is low for LTE-V2X to transmit BSMs.</w:t>
            </w:r>
          </w:p>
        </w:tc>
      </w:tr>
      <w:tr w:rsidR="00173177" w14:paraId="3413EBE6" w14:textId="77777777" w:rsidTr="00782909">
        <w:tc>
          <w:tcPr>
            <w:tcW w:w="2184" w:type="dxa"/>
          </w:tcPr>
          <w:p w14:paraId="31AC5FBF" w14:textId="0A9CE7A3" w:rsidR="00173177" w:rsidRDefault="00173177" w:rsidP="00173177">
            <w:pPr>
              <w:pStyle w:val="BodyText"/>
              <w:jc w:val="left"/>
              <w:rPr>
                <w:color w:val="auto"/>
                <w:sz w:val="20"/>
                <w:szCs w:val="20"/>
              </w:rPr>
            </w:pPr>
            <w:r>
              <w:rPr>
                <w:color w:val="auto"/>
                <w:sz w:val="20"/>
                <w:szCs w:val="20"/>
              </w:rPr>
              <w:t>Performance, including latency</w:t>
            </w:r>
          </w:p>
        </w:tc>
        <w:tc>
          <w:tcPr>
            <w:tcW w:w="2914" w:type="dxa"/>
            <w:vAlign w:val="center"/>
          </w:tcPr>
          <w:p w14:paraId="40825A3F" w14:textId="0B3CF5BE" w:rsidR="00173177" w:rsidRDefault="00173177" w:rsidP="00173177">
            <w:pPr>
              <w:pStyle w:val="BodyText"/>
              <w:numPr>
                <w:ilvl w:val="0"/>
                <w:numId w:val="14"/>
              </w:numPr>
              <w:ind w:left="252" w:hanging="218"/>
              <w:jc w:val="left"/>
              <w:rPr>
                <w:color w:val="auto"/>
                <w:sz w:val="20"/>
                <w:szCs w:val="20"/>
              </w:rPr>
            </w:pPr>
            <w:r>
              <w:rPr>
                <w:color w:val="auto"/>
                <w:sz w:val="20"/>
                <w:szCs w:val="20"/>
              </w:rPr>
              <w:t>DCI error rate (1%) and coverage are better than PDSCH (10%)</w:t>
            </w:r>
          </w:p>
          <w:p w14:paraId="3CE1FDF3" w14:textId="725F0F84" w:rsidR="00173177" w:rsidRDefault="00173177" w:rsidP="00173177">
            <w:pPr>
              <w:pStyle w:val="BodyText"/>
              <w:numPr>
                <w:ilvl w:val="0"/>
                <w:numId w:val="14"/>
              </w:numPr>
              <w:ind w:left="252" w:hanging="218"/>
              <w:jc w:val="left"/>
              <w:rPr>
                <w:color w:val="auto"/>
                <w:sz w:val="20"/>
                <w:szCs w:val="20"/>
              </w:rPr>
            </w:pPr>
            <w:r>
              <w:rPr>
                <w:color w:val="auto"/>
                <w:sz w:val="20"/>
                <w:szCs w:val="20"/>
              </w:rPr>
              <w:t xml:space="preserve">Activation/release latency = 4ms + </w:t>
            </w:r>
            <w:proofErr w:type="spellStart"/>
            <w:r>
              <w:rPr>
                <w:color w:val="auto"/>
                <w:sz w:val="20"/>
                <w:szCs w:val="20"/>
              </w:rPr>
              <w:t>Xms</w:t>
            </w:r>
            <w:proofErr w:type="spellEnd"/>
            <w:r>
              <w:rPr>
                <w:color w:val="auto"/>
                <w:sz w:val="20"/>
                <w:szCs w:val="20"/>
              </w:rPr>
              <w:t xml:space="preserve"> (inter-RAT signalling exchange time)</w:t>
            </w:r>
          </w:p>
        </w:tc>
        <w:tc>
          <w:tcPr>
            <w:tcW w:w="3918" w:type="dxa"/>
            <w:vAlign w:val="center"/>
          </w:tcPr>
          <w:p w14:paraId="5D78E899" w14:textId="0618D132" w:rsidR="00173177" w:rsidRDefault="00782909" w:rsidP="00782909">
            <w:pPr>
              <w:pStyle w:val="BodyText"/>
              <w:numPr>
                <w:ilvl w:val="0"/>
                <w:numId w:val="14"/>
              </w:numPr>
              <w:ind w:left="252" w:hanging="218"/>
              <w:jc w:val="left"/>
              <w:rPr>
                <w:color w:val="auto"/>
                <w:sz w:val="20"/>
                <w:szCs w:val="20"/>
              </w:rPr>
            </w:pPr>
            <w:r>
              <w:rPr>
                <w:color w:val="auto"/>
                <w:sz w:val="20"/>
                <w:szCs w:val="20"/>
              </w:rPr>
              <w:t xml:space="preserve">Reliability is achieved by PDSCH retransmissions (HARQ), this in turn occurs significant latency delay in 10’s of </w:t>
            </w:r>
            <w:proofErr w:type="spellStart"/>
            <w:r>
              <w:rPr>
                <w:color w:val="auto"/>
                <w:sz w:val="20"/>
                <w:szCs w:val="20"/>
              </w:rPr>
              <w:t>ms</w:t>
            </w:r>
            <w:proofErr w:type="spellEnd"/>
          </w:p>
          <w:p w14:paraId="19FC4911" w14:textId="77777777" w:rsidR="00782909" w:rsidRDefault="00782909" w:rsidP="00782909">
            <w:pPr>
              <w:pStyle w:val="BodyText"/>
              <w:numPr>
                <w:ilvl w:val="0"/>
                <w:numId w:val="14"/>
              </w:numPr>
              <w:ind w:left="252" w:hanging="218"/>
              <w:jc w:val="left"/>
              <w:rPr>
                <w:color w:val="auto"/>
                <w:sz w:val="20"/>
                <w:szCs w:val="20"/>
              </w:rPr>
            </w:pPr>
            <w:r>
              <w:rPr>
                <w:color w:val="auto"/>
                <w:sz w:val="20"/>
                <w:szCs w:val="20"/>
              </w:rPr>
              <w:t>Adding UE processing time for RRC reconfiguration is 15ms for LTE</w:t>
            </w:r>
          </w:p>
          <w:p w14:paraId="44D82BC5" w14:textId="075551A4" w:rsidR="00782909" w:rsidRDefault="00782909" w:rsidP="00782909">
            <w:pPr>
              <w:pStyle w:val="BodyText"/>
              <w:numPr>
                <w:ilvl w:val="0"/>
                <w:numId w:val="14"/>
              </w:numPr>
              <w:ind w:left="252" w:hanging="218"/>
              <w:jc w:val="left"/>
              <w:rPr>
                <w:color w:val="auto"/>
                <w:sz w:val="20"/>
                <w:szCs w:val="20"/>
              </w:rPr>
            </w:pPr>
            <w:r>
              <w:rPr>
                <w:color w:val="auto"/>
                <w:sz w:val="20"/>
                <w:szCs w:val="20"/>
              </w:rPr>
              <w:t xml:space="preserve">Adding inter-RAT signalling exchange time of </w:t>
            </w:r>
            <w:proofErr w:type="spellStart"/>
            <w:r>
              <w:rPr>
                <w:color w:val="auto"/>
                <w:sz w:val="20"/>
                <w:szCs w:val="20"/>
              </w:rPr>
              <w:t>Xms</w:t>
            </w:r>
            <w:proofErr w:type="spellEnd"/>
          </w:p>
        </w:tc>
      </w:tr>
      <w:tr w:rsidR="00173177" w14:paraId="0BD8CD48" w14:textId="77777777" w:rsidTr="00782909">
        <w:tc>
          <w:tcPr>
            <w:tcW w:w="2184" w:type="dxa"/>
          </w:tcPr>
          <w:p w14:paraId="7B4DAD65" w14:textId="1FF1A132" w:rsidR="00173177" w:rsidRDefault="00173177" w:rsidP="00173177">
            <w:pPr>
              <w:pStyle w:val="BodyText"/>
              <w:jc w:val="left"/>
              <w:rPr>
                <w:color w:val="auto"/>
                <w:sz w:val="20"/>
                <w:szCs w:val="20"/>
              </w:rPr>
            </w:pPr>
            <w:r>
              <w:rPr>
                <w:color w:val="auto"/>
                <w:sz w:val="20"/>
                <w:szCs w:val="20"/>
              </w:rPr>
              <w:t>Implementation complexity</w:t>
            </w:r>
          </w:p>
        </w:tc>
        <w:tc>
          <w:tcPr>
            <w:tcW w:w="2914" w:type="dxa"/>
            <w:vAlign w:val="center"/>
          </w:tcPr>
          <w:p w14:paraId="6E01E989" w14:textId="4D564534" w:rsidR="00173177" w:rsidRDefault="00606418" w:rsidP="00173177">
            <w:pPr>
              <w:pStyle w:val="BodyText"/>
              <w:jc w:val="left"/>
              <w:rPr>
                <w:color w:val="auto"/>
                <w:sz w:val="20"/>
                <w:szCs w:val="20"/>
              </w:rPr>
            </w:pPr>
            <w:r>
              <w:rPr>
                <w:color w:val="auto"/>
                <w:sz w:val="20"/>
                <w:szCs w:val="20"/>
              </w:rPr>
              <w:t xml:space="preserve">Need to enable </w:t>
            </w:r>
            <w:r>
              <w:rPr>
                <w:color w:val="auto"/>
                <w:sz w:val="20"/>
                <w:szCs w:val="20"/>
              </w:rPr>
              <w:t>inter-RAT signalling exchange</w:t>
            </w:r>
          </w:p>
        </w:tc>
        <w:tc>
          <w:tcPr>
            <w:tcW w:w="3918" w:type="dxa"/>
            <w:vAlign w:val="center"/>
          </w:tcPr>
          <w:p w14:paraId="5A6911B2" w14:textId="659FB90C" w:rsidR="00173177" w:rsidRDefault="00606418" w:rsidP="00173177">
            <w:pPr>
              <w:pStyle w:val="BodyText"/>
              <w:jc w:val="left"/>
              <w:rPr>
                <w:color w:val="auto"/>
                <w:sz w:val="20"/>
                <w:szCs w:val="20"/>
              </w:rPr>
            </w:pPr>
            <w:r>
              <w:rPr>
                <w:color w:val="auto"/>
                <w:sz w:val="20"/>
                <w:szCs w:val="20"/>
              </w:rPr>
              <w:t>Need to enable inter-RAT signalling exchange</w:t>
            </w:r>
          </w:p>
        </w:tc>
      </w:tr>
      <w:tr w:rsidR="00173177" w14:paraId="2D3928F3" w14:textId="77777777" w:rsidTr="00782909">
        <w:tc>
          <w:tcPr>
            <w:tcW w:w="2184" w:type="dxa"/>
          </w:tcPr>
          <w:p w14:paraId="1748010D" w14:textId="154A9538" w:rsidR="00173177" w:rsidRDefault="00173177" w:rsidP="00173177">
            <w:pPr>
              <w:pStyle w:val="BodyText"/>
              <w:jc w:val="left"/>
              <w:rPr>
                <w:color w:val="auto"/>
                <w:sz w:val="20"/>
                <w:szCs w:val="20"/>
              </w:rPr>
            </w:pPr>
            <w:r>
              <w:rPr>
                <w:color w:val="auto"/>
                <w:sz w:val="20"/>
                <w:szCs w:val="20"/>
              </w:rPr>
              <w:t>Timing of activation/deactivation</w:t>
            </w:r>
          </w:p>
        </w:tc>
        <w:tc>
          <w:tcPr>
            <w:tcW w:w="2914" w:type="dxa"/>
            <w:vAlign w:val="center"/>
          </w:tcPr>
          <w:p w14:paraId="405D048C" w14:textId="59EAE1C9" w:rsidR="00173177" w:rsidRDefault="00590970" w:rsidP="00173177">
            <w:pPr>
              <w:pStyle w:val="BodyText"/>
              <w:jc w:val="left"/>
              <w:rPr>
                <w:color w:val="auto"/>
                <w:sz w:val="20"/>
                <w:szCs w:val="20"/>
              </w:rPr>
            </w:pPr>
            <w:r>
              <w:rPr>
                <w:color w:val="auto"/>
                <w:sz w:val="20"/>
                <w:szCs w:val="20"/>
              </w:rPr>
              <w:t xml:space="preserve">Depends on </w:t>
            </w:r>
            <w:r w:rsidR="00D064B6">
              <w:rPr>
                <w:color w:val="auto"/>
                <w:sz w:val="20"/>
                <w:szCs w:val="20"/>
              </w:rPr>
              <w:t>inter-RAT signalling exchange time</w:t>
            </w:r>
            <w:r w:rsidR="00D064B6">
              <w:rPr>
                <w:color w:val="auto"/>
                <w:sz w:val="20"/>
                <w:szCs w:val="20"/>
              </w:rPr>
              <w:t xml:space="preserve"> (</w:t>
            </w:r>
            <w:proofErr w:type="spellStart"/>
            <w:r w:rsidR="00D064B6">
              <w:rPr>
                <w:color w:val="auto"/>
                <w:sz w:val="20"/>
                <w:szCs w:val="20"/>
              </w:rPr>
              <w:t>Xms</w:t>
            </w:r>
            <w:proofErr w:type="spellEnd"/>
            <w:r w:rsidR="00D064B6">
              <w:rPr>
                <w:color w:val="auto"/>
                <w:sz w:val="20"/>
                <w:szCs w:val="20"/>
              </w:rPr>
              <w:t>)</w:t>
            </w:r>
          </w:p>
        </w:tc>
        <w:tc>
          <w:tcPr>
            <w:tcW w:w="3918" w:type="dxa"/>
            <w:vAlign w:val="center"/>
          </w:tcPr>
          <w:p w14:paraId="4B844ADF" w14:textId="496BF5BE" w:rsidR="00173177" w:rsidRDefault="00D064B6" w:rsidP="00173177">
            <w:pPr>
              <w:pStyle w:val="BodyText"/>
              <w:jc w:val="left"/>
              <w:rPr>
                <w:color w:val="auto"/>
                <w:sz w:val="20"/>
                <w:szCs w:val="20"/>
              </w:rPr>
            </w:pPr>
            <w:r>
              <w:rPr>
                <w:color w:val="auto"/>
                <w:sz w:val="20"/>
                <w:szCs w:val="20"/>
              </w:rPr>
              <w:t>Depends on inter-RAT signalling exchange time (</w:t>
            </w:r>
            <w:proofErr w:type="spellStart"/>
            <w:r>
              <w:rPr>
                <w:color w:val="auto"/>
                <w:sz w:val="20"/>
                <w:szCs w:val="20"/>
              </w:rPr>
              <w:t>Xms</w:t>
            </w:r>
            <w:proofErr w:type="spellEnd"/>
            <w:r>
              <w:rPr>
                <w:color w:val="auto"/>
                <w:sz w:val="20"/>
                <w:szCs w:val="20"/>
              </w:rPr>
              <w:t>)</w:t>
            </w:r>
          </w:p>
        </w:tc>
      </w:tr>
    </w:tbl>
    <w:p w14:paraId="35631CA1" w14:textId="77777777" w:rsidR="00173177" w:rsidRDefault="00173177" w:rsidP="004A03BC">
      <w:pPr>
        <w:pStyle w:val="BodyText"/>
        <w:rPr>
          <w:color w:val="auto"/>
          <w:sz w:val="20"/>
          <w:szCs w:val="20"/>
        </w:rPr>
      </w:pPr>
    </w:p>
    <w:p w14:paraId="6A91B6A5" w14:textId="12338B84" w:rsidR="00852251" w:rsidRPr="00420F6D" w:rsidRDefault="00606418" w:rsidP="00420F6D">
      <w:pPr>
        <w:pStyle w:val="BodyText"/>
        <w:rPr>
          <w:color w:val="auto"/>
          <w:sz w:val="20"/>
          <w:szCs w:val="20"/>
        </w:rPr>
      </w:pPr>
      <w:r>
        <w:rPr>
          <w:color w:val="auto"/>
          <w:sz w:val="20"/>
          <w:szCs w:val="20"/>
        </w:rPr>
        <w:t>Based on the above comparison table between DCI-based and RRC-based activation / release of configured SPS processes, clearly the DCI-based method provides more benefits in terms of spec impact and performance (including latency). On the other hand, the RRC-based method provides no clear advantages over DCI-based in other areas.</w:t>
      </w:r>
    </w:p>
    <w:p w14:paraId="531505A3" w14:textId="77777777" w:rsidR="00EE40AD" w:rsidRPr="004A03BC" w:rsidRDefault="00EE40AD" w:rsidP="00EE40AD">
      <w:pPr>
        <w:rPr>
          <w:b/>
          <w:i/>
          <w:color w:val="000000" w:themeColor="text1"/>
          <w:sz w:val="20"/>
          <w:szCs w:val="20"/>
        </w:rPr>
      </w:pPr>
    </w:p>
    <w:p w14:paraId="448DFB92" w14:textId="2BBB0B6F" w:rsidR="002347E5" w:rsidRPr="00420F6D" w:rsidRDefault="002347E5" w:rsidP="00947BB5">
      <w:pPr>
        <w:spacing w:after="240"/>
        <w:rPr>
          <w:b/>
          <w:i/>
          <w:sz w:val="20"/>
          <w:szCs w:val="20"/>
        </w:rPr>
      </w:pPr>
      <w:r w:rsidRPr="00420F6D">
        <w:rPr>
          <w:b/>
          <w:i/>
          <w:sz w:val="20"/>
          <w:szCs w:val="20"/>
        </w:rPr>
        <w:t xml:space="preserve">Proposal </w:t>
      </w:r>
      <w:r w:rsidR="00EE40AD" w:rsidRPr="00420F6D">
        <w:rPr>
          <w:b/>
          <w:i/>
          <w:sz w:val="20"/>
          <w:szCs w:val="20"/>
        </w:rPr>
        <w:t>2</w:t>
      </w:r>
      <w:r w:rsidRPr="00420F6D">
        <w:rPr>
          <w:b/>
          <w:i/>
          <w:sz w:val="20"/>
          <w:szCs w:val="20"/>
        </w:rPr>
        <w:t xml:space="preserve">: </w:t>
      </w:r>
      <w:r w:rsidR="00420F6D" w:rsidRPr="00420F6D">
        <w:rPr>
          <w:b/>
          <w:i/>
          <w:sz w:val="20"/>
          <w:szCs w:val="20"/>
        </w:rPr>
        <w:t xml:space="preserve">It is proposed to </w:t>
      </w:r>
      <w:r w:rsidR="00606418">
        <w:rPr>
          <w:b/>
          <w:i/>
          <w:sz w:val="20"/>
          <w:szCs w:val="20"/>
        </w:rPr>
        <w:t xml:space="preserve">adopt </w:t>
      </w:r>
      <w:r w:rsidR="00420F6D" w:rsidRPr="00420F6D">
        <w:rPr>
          <w:b/>
          <w:i/>
          <w:sz w:val="20"/>
          <w:szCs w:val="20"/>
        </w:rPr>
        <w:t xml:space="preserve">DCI-based activation/release </w:t>
      </w:r>
      <w:r w:rsidR="00606418">
        <w:rPr>
          <w:b/>
          <w:i/>
          <w:sz w:val="20"/>
          <w:szCs w:val="20"/>
        </w:rPr>
        <w:t>of LTE sidelink SPS due to benefits in spec impact and performance (including latency) over the RRC-based method.</w:t>
      </w:r>
    </w:p>
    <w:p w14:paraId="09F8C278" w14:textId="77777777" w:rsidR="004263F7" w:rsidRDefault="004263F7" w:rsidP="004263F7">
      <w:pPr>
        <w:keepNext/>
        <w:spacing w:after="240"/>
        <w:jc w:val="center"/>
      </w:pPr>
      <w:r w:rsidRPr="003A74CD">
        <w:rPr>
          <w:noProof/>
        </w:rPr>
        <w:drawing>
          <wp:inline distT="0" distB="0" distL="0" distR="0" wp14:anchorId="3C5D6D5A" wp14:editId="6738D981">
            <wp:extent cx="2995161" cy="25808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9877" cy="2602127"/>
                    </a:xfrm>
                    <a:prstGeom prst="rect">
                      <a:avLst/>
                    </a:prstGeom>
                    <a:noFill/>
                    <a:ln>
                      <a:noFill/>
                    </a:ln>
                  </pic:spPr>
                </pic:pic>
              </a:graphicData>
            </a:graphic>
          </wp:inline>
        </w:drawing>
      </w:r>
    </w:p>
    <w:p w14:paraId="274926AC" w14:textId="77777777" w:rsidR="004263F7" w:rsidRPr="009B1F2E" w:rsidRDefault="004263F7" w:rsidP="004263F7">
      <w:pPr>
        <w:pStyle w:val="Caption"/>
        <w:jc w:val="center"/>
        <w:rPr>
          <w:b/>
          <w:color w:val="000000" w:themeColor="text1"/>
          <w:sz w:val="20"/>
          <w:szCs w:val="20"/>
        </w:rPr>
      </w:pPr>
      <w:r w:rsidRPr="009B1F2E">
        <w:rPr>
          <w:b/>
          <w:color w:val="000000" w:themeColor="text1"/>
          <w:sz w:val="20"/>
        </w:rPr>
        <w:t xml:space="preserve">Figure </w:t>
      </w:r>
      <w:r w:rsidRPr="009B1F2E">
        <w:rPr>
          <w:b/>
          <w:color w:val="000000" w:themeColor="text1"/>
          <w:sz w:val="20"/>
        </w:rPr>
        <w:fldChar w:fldCharType="begin"/>
      </w:r>
      <w:r w:rsidRPr="009B1F2E">
        <w:rPr>
          <w:b/>
          <w:color w:val="000000" w:themeColor="text1"/>
          <w:sz w:val="20"/>
        </w:rPr>
        <w:instrText xml:space="preserve"> SEQ Figure \* ARABIC </w:instrText>
      </w:r>
      <w:r w:rsidRPr="009B1F2E">
        <w:rPr>
          <w:b/>
          <w:color w:val="000000" w:themeColor="text1"/>
          <w:sz w:val="20"/>
        </w:rPr>
        <w:fldChar w:fldCharType="separate"/>
      </w:r>
      <w:r w:rsidRPr="009B1F2E">
        <w:rPr>
          <w:b/>
          <w:noProof/>
          <w:color w:val="000000" w:themeColor="text1"/>
          <w:sz w:val="20"/>
        </w:rPr>
        <w:t>1</w:t>
      </w:r>
      <w:r w:rsidRPr="009B1F2E">
        <w:rPr>
          <w:b/>
          <w:color w:val="000000" w:themeColor="text1"/>
          <w:sz w:val="20"/>
        </w:rPr>
        <w:fldChar w:fldCharType="end"/>
      </w:r>
      <w:r w:rsidRPr="009B1F2E">
        <w:rPr>
          <w:b/>
          <w:color w:val="000000" w:themeColor="text1"/>
          <w:sz w:val="20"/>
        </w:rPr>
        <w:t xml:space="preserve">: </w:t>
      </w:r>
      <w:r>
        <w:rPr>
          <w:b/>
          <w:color w:val="000000" w:themeColor="text1"/>
          <w:sz w:val="20"/>
        </w:rPr>
        <w:t>S</w:t>
      </w:r>
      <w:r w:rsidRPr="004263F7">
        <w:rPr>
          <w:b/>
          <w:color w:val="000000" w:themeColor="text1"/>
          <w:sz w:val="20"/>
        </w:rPr>
        <w:t xml:space="preserve">ignalling flow from gNB to NR module in a UE </w:t>
      </w:r>
      <w:r>
        <w:rPr>
          <w:b/>
          <w:color w:val="000000" w:themeColor="text1"/>
          <w:sz w:val="20"/>
        </w:rPr>
        <w:t>passing the signalling content to the LTE module.</w:t>
      </w:r>
    </w:p>
    <w:p w14:paraId="145BA73C" w14:textId="3EFCFF70" w:rsidR="00570C83" w:rsidRPr="002010A4" w:rsidRDefault="003A74CD" w:rsidP="004263F7">
      <w:pPr>
        <w:spacing w:after="240"/>
        <w:rPr>
          <w:color w:val="000000" w:themeColor="text1"/>
          <w:sz w:val="20"/>
          <w:szCs w:val="20"/>
        </w:rPr>
      </w:pPr>
      <w:r w:rsidRPr="002010A4">
        <w:rPr>
          <w:color w:val="000000" w:themeColor="text1"/>
          <w:sz w:val="20"/>
          <w:szCs w:val="20"/>
        </w:rPr>
        <w:t>In Figure 1, a d</w:t>
      </w:r>
      <w:r w:rsidR="00570C83" w:rsidRPr="002010A4">
        <w:rPr>
          <w:color w:val="000000" w:themeColor="text1"/>
          <w:sz w:val="20"/>
          <w:szCs w:val="20"/>
        </w:rPr>
        <w:t>iagram showing signalling flow from</w:t>
      </w:r>
      <w:r w:rsidR="00322BBF" w:rsidRPr="002010A4">
        <w:rPr>
          <w:color w:val="000000" w:themeColor="text1"/>
          <w:sz w:val="20"/>
          <w:szCs w:val="20"/>
        </w:rPr>
        <w:t xml:space="preserve"> gNB</w:t>
      </w:r>
      <w:r w:rsidR="00570C83" w:rsidRPr="002010A4">
        <w:rPr>
          <w:color w:val="000000" w:themeColor="text1"/>
          <w:sz w:val="20"/>
          <w:szCs w:val="20"/>
        </w:rPr>
        <w:t xml:space="preserve"> to</w:t>
      </w:r>
      <w:r w:rsidR="00322BBF" w:rsidRPr="002010A4">
        <w:rPr>
          <w:color w:val="000000" w:themeColor="text1"/>
          <w:sz w:val="20"/>
          <w:szCs w:val="20"/>
        </w:rPr>
        <w:t xml:space="preserve"> </w:t>
      </w:r>
      <w:r w:rsidR="00570C83" w:rsidRPr="002010A4">
        <w:rPr>
          <w:color w:val="000000" w:themeColor="text1"/>
          <w:sz w:val="20"/>
          <w:szCs w:val="20"/>
        </w:rPr>
        <w:t xml:space="preserve">NR module </w:t>
      </w:r>
      <w:r w:rsidR="00322BBF" w:rsidRPr="002010A4">
        <w:rPr>
          <w:color w:val="000000" w:themeColor="text1"/>
          <w:sz w:val="20"/>
          <w:szCs w:val="20"/>
        </w:rPr>
        <w:t xml:space="preserve">in a UE </w:t>
      </w:r>
      <w:r w:rsidR="00570C83" w:rsidRPr="002010A4">
        <w:rPr>
          <w:color w:val="000000" w:themeColor="text1"/>
          <w:sz w:val="20"/>
          <w:szCs w:val="20"/>
        </w:rPr>
        <w:t xml:space="preserve">via NR Uu interface </w:t>
      </w:r>
      <w:r w:rsidR="004263F7" w:rsidRPr="002010A4">
        <w:rPr>
          <w:color w:val="000000" w:themeColor="text1"/>
          <w:sz w:val="20"/>
          <w:szCs w:val="20"/>
        </w:rPr>
        <w:t>(</w:t>
      </w:r>
      <w:r w:rsidR="00322BBF" w:rsidRPr="002010A4">
        <w:rPr>
          <w:color w:val="000000" w:themeColor="text1"/>
          <w:sz w:val="20"/>
          <w:szCs w:val="20"/>
        </w:rPr>
        <w:t>1-3</w:t>
      </w:r>
      <w:r w:rsidR="00570C83" w:rsidRPr="002010A4">
        <w:rPr>
          <w:color w:val="000000" w:themeColor="text1"/>
          <w:sz w:val="20"/>
          <w:szCs w:val="20"/>
        </w:rPr>
        <w:t xml:space="preserve"> symbols for PDCCH </w:t>
      </w:r>
      <w:r w:rsidR="006A51DC" w:rsidRPr="002010A4">
        <w:rPr>
          <w:color w:val="000000" w:themeColor="text1"/>
          <w:sz w:val="20"/>
          <w:szCs w:val="20"/>
        </w:rPr>
        <w:t>COR</w:t>
      </w:r>
      <w:r w:rsidR="00322BBF" w:rsidRPr="002010A4">
        <w:rPr>
          <w:color w:val="000000" w:themeColor="text1"/>
          <w:sz w:val="20"/>
          <w:szCs w:val="20"/>
        </w:rPr>
        <w:t>E</w:t>
      </w:r>
      <w:r w:rsidR="006A51DC" w:rsidRPr="002010A4">
        <w:rPr>
          <w:color w:val="000000" w:themeColor="text1"/>
          <w:sz w:val="20"/>
          <w:szCs w:val="20"/>
        </w:rPr>
        <w:t>SET</w:t>
      </w:r>
      <w:r w:rsidR="004263F7" w:rsidRPr="002010A4">
        <w:rPr>
          <w:color w:val="000000" w:themeColor="text1"/>
          <w:sz w:val="20"/>
          <w:szCs w:val="20"/>
        </w:rPr>
        <w:t xml:space="preserve"> for DCI-based and up to 10’s of </w:t>
      </w:r>
      <w:proofErr w:type="spellStart"/>
      <w:r w:rsidR="004263F7" w:rsidRPr="002010A4">
        <w:rPr>
          <w:color w:val="000000" w:themeColor="text1"/>
          <w:sz w:val="20"/>
          <w:szCs w:val="20"/>
        </w:rPr>
        <w:t>ms</w:t>
      </w:r>
      <w:proofErr w:type="spellEnd"/>
      <w:r w:rsidR="004263F7" w:rsidRPr="002010A4">
        <w:rPr>
          <w:color w:val="000000" w:themeColor="text1"/>
          <w:sz w:val="20"/>
          <w:szCs w:val="20"/>
        </w:rPr>
        <w:t xml:space="preserve"> for RRC-based message)</w:t>
      </w:r>
      <w:r w:rsidR="00570C83" w:rsidRPr="002010A4">
        <w:rPr>
          <w:color w:val="000000" w:themeColor="text1"/>
          <w:sz w:val="20"/>
          <w:szCs w:val="20"/>
        </w:rPr>
        <w:t>, pass</w:t>
      </w:r>
      <w:r w:rsidR="00322BBF" w:rsidRPr="002010A4">
        <w:rPr>
          <w:color w:val="000000" w:themeColor="text1"/>
          <w:sz w:val="20"/>
          <w:szCs w:val="20"/>
        </w:rPr>
        <w:t xml:space="preserve">ing </w:t>
      </w:r>
      <w:r w:rsidR="004263F7" w:rsidRPr="002010A4">
        <w:rPr>
          <w:color w:val="000000" w:themeColor="text1"/>
          <w:sz w:val="20"/>
          <w:szCs w:val="20"/>
        </w:rPr>
        <w:t xml:space="preserve">the </w:t>
      </w:r>
      <w:r w:rsidR="00322BBF" w:rsidRPr="002010A4">
        <w:rPr>
          <w:color w:val="000000" w:themeColor="text1"/>
          <w:sz w:val="20"/>
          <w:szCs w:val="20"/>
        </w:rPr>
        <w:t>signalling content</w:t>
      </w:r>
      <w:r w:rsidR="00570C83" w:rsidRPr="002010A4">
        <w:rPr>
          <w:color w:val="000000" w:themeColor="text1"/>
          <w:sz w:val="20"/>
          <w:szCs w:val="20"/>
        </w:rPr>
        <w:t xml:space="preserve"> from </w:t>
      </w:r>
      <w:r w:rsidR="00322BBF" w:rsidRPr="002010A4">
        <w:rPr>
          <w:color w:val="000000" w:themeColor="text1"/>
          <w:sz w:val="20"/>
          <w:szCs w:val="20"/>
        </w:rPr>
        <w:t xml:space="preserve">the </w:t>
      </w:r>
      <w:r w:rsidR="00570C83" w:rsidRPr="002010A4">
        <w:rPr>
          <w:color w:val="000000" w:themeColor="text1"/>
          <w:sz w:val="20"/>
          <w:szCs w:val="20"/>
        </w:rPr>
        <w:t>NR module to</w:t>
      </w:r>
      <w:r w:rsidR="004263F7" w:rsidRPr="002010A4">
        <w:rPr>
          <w:color w:val="000000" w:themeColor="text1"/>
          <w:sz w:val="20"/>
          <w:szCs w:val="20"/>
        </w:rPr>
        <w:t xml:space="preserve"> a UE internal</w:t>
      </w:r>
      <w:r w:rsidR="00570C83" w:rsidRPr="002010A4">
        <w:rPr>
          <w:color w:val="000000" w:themeColor="text1"/>
          <w:sz w:val="20"/>
          <w:szCs w:val="20"/>
        </w:rPr>
        <w:t xml:space="preserve"> LTE module via a proprietary </w:t>
      </w:r>
      <w:r w:rsidR="00570C83" w:rsidRPr="002010A4">
        <w:rPr>
          <w:color w:val="000000" w:themeColor="text1"/>
          <w:sz w:val="20"/>
          <w:szCs w:val="20"/>
        </w:rPr>
        <w:lastRenderedPageBreak/>
        <w:t xml:space="preserve">interface (X </w:t>
      </w:r>
      <w:proofErr w:type="spellStart"/>
      <w:r w:rsidR="00570C83" w:rsidRPr="002010A4">
        <w:rPr>
          <w:color w:val="000000" w:themeColor="text1"/>
          <w:sz w:val="20"/>
          <w:szCs w:val="20"/>
        </w:rPr>
        <w:t>ms</w:t>
      </w:r>
      <w:proofErr w:type="spellEnd"/>
      <w:r w:rsidR="00570C83" w:rsidRPr="002010A4">
        <w:rPr>
          <w:color w:val="000000" w:themeColor="text1"/>
          <w:sz w:val="20"/>
          <w:szCs w:val="20"/>
        </w:rPr>
        <w:t xml:space="preserve">), then </w:t>
      </w:r>
      <w:r w:rsidR="004263F7" w:rsidRPr="002010A4">
        <w:rPr>
          <w:color w:val="000000" w:themeColor="text1"/>
          <w:sz w:val="20"/>
          <w:szCs w:val="20"/>
        </w:rPr>
        <w:t xml:space="preserve">a </w:t>
      </w:r>
      <w:r w:rsidR="00570C83" w:rsidRPr="002010A4">
        <w:rPr>
          <w:color w:val="000000" w:themeColor="text1"/>
          <w:sz w:val="20"/>
          <w:szCs w:val="20"/>
        </w:rPr>
        <w:t xml:space="preserve">4ms assumption of UE processing time for preparing and encoding </w:t>
      </w:r>
      <w:r w:rsidR="00322BBF" w:rsidRPr="002010A4">
        <w:rPr>
          <w:color w:val="000000" w:themeColor="text1"/>
          <w:sz w:val="20"/>
          <w:szCs w:val="20"/>
        </w:rPr>
        <w:t xml:space="preserve">LTE </w:t>
      </w:r>
      <w:r w:rsidR="00570C83" w:rsidRPr="002010A4">
        <w:rPr>
          <w:color w:val="000000" w:themeColor="text1"/>
          <w:sz w:val="20"/>
          <w:szCs w:val="20"/>
        </w:rPr>
        <w:t>message TB for transmission.</w:t>
      </w:r>
      <w:r w:rsidR="00322BBF" w:rsidRPr="002010A4">
        <w:rPr>
          <w:color w:val="000000" w:themeColor="text1"/>
          <w:sz w:val="20"/>
          <w:szCs w:val="20"/>
        </w:rPr>
        <w:t xml:space="preserve"> </w:t>
      </w:r>
      <w:r w:rsidR="004263F7" w:rsidRPr="002010A4">
        <w:rPr>
          <w:color w:val="000000" w:themeColor="text1"/>
          <w:sz w:val="20"/>
          <w:szCs w:val="20"/>
        </w:rPr>
        <w:t>This signalling flow would be the same for both DCI-based and RRC-based activation/release. However, their time taken to complete the whole process could be different as discussed previously. But i</w:t>
      </w:r>
      <w:r w:rsidR="00570C83" w:rsidRPr="002010A4">
        <w:rPr>
          <w:color w:val="000000" w:themeColor="text1"/>
          <w:sz w:val="20"/>
          <w:szCs w:val="20"/>
        </w:rPr>
        <w:t xml:space="preserve">n order for the gNB to schedule resources for a UE or </w:t>
      </w:r>
      <w:r w:rsidR="00622721" w:rsidRPr="002010A4">
        <w:rPr>
          <w:color w:val="000000" w:themeColor="text1"/>
          <w:sz w:val="20"/>
          <w:szCs w:val="20"/>
        </w:rPr>
        <w:t xml:space="preserve">determine an appropriate timing for SPS resource start time, the gNB should know </w:t>
      </w:r>
      <w:r w:rsidR="004263F7" w:rsidRPr="002010A4">
        <w:rPr>
          <w:color w:val="000000" w:themeColor="text1"/>
          <w:sz w:val="20"/>
          <w:szCs w:val="20"/>
        </w:rPr>
        <w:t xml:space="preserve">about the duration of </w:t>
      </w:r>
      <w:r w:rsidR="00622721" w:rsidRPr="002010A4">
        <w:rPr>
          <w:color w:val="000000" w:themeColor="text1"/>
          <w:sz w:val="20"/>
          <w:szCs w:val="20"/>
        </w:rPr>
        <w:t xml:space="preserve">this X </w:t>
      </w:r>
      <w:proofErr w:type="spellStart"/>
      <w:r w:rsidR="00622721" w:rsidRPr="002010A4">
        <w:rPr>
          <w:color w:val="000000" w:themeColor="text1"/>
          <w:sz w:val="20"/>
          <w:szCs w:val="20"/>
        </w:rPr>
        <w:t>ms</w:t>
      </w:r>
      <w:proofErr w:type="spellEnd"/>
      <w:r w:rsidR="00622721" w:rsidRPr="002010A4">
        <w:rPr>
          <w:color w:val="000000" w:themeColor="text1"/>
          <w:sz w:val="20"/>
          <w:szCs w:val="20"/>
        </w:rPr>
        <w:t xml:space="preserve">. Therefore, it is proposed UE should provide such information as </w:t>
      </w:r>
      <w:r w:rsidR="004263F7" w:rsidRPr="002010A4">
        <w:rPr>
          <w:color w:val="000000" w:themeColor="text1"/>
          <w:sz w:val="20"/>
          <w:szCs w:val="20"/>
        </w:rPr>
        <w:t xml:space="preserve">part of </w:t>
      </w:r>
      <w:r w:rsidR="00622721" w:rsidRPr="002010A4">
        <w:rPr>
          <w:color w:val="000000" w:themeColor="text1"/>
          <w:sz w:val="20"/>
          <w:szCs w:val="20"/>
        </w:rPr>
        <w:t>capability signalling to the gNB of minimum timeframe needed to exchange signalling from UE internal one RAT module to another RAT module, similar to UE reporting of K1 and K2 values for HARQ reporting and PUSCH preparation capabilities, respectively.</w:t>
      </w:r>
    </w:p>
    <w:p w14:paraId="61548D44" w14:textId="1585735A" w:rsidR="00FA5B50" w:rsidRPr="00A73D0D" w:rsidRDefault="00FA5B50" w:rsidP="00947BB5">
      <w:pPr>
        <w:spacing w:after="240"/>
        <w:rPr>
          <w:b/>
          <w:i/>
          <w:color w:val="000000" w:themeColor="text1"/>
          <w:sz w:val="20"/>
          <w:szCs w:val="20"/>
        </w:rPr>
      </w:pPr>
      <w:r w:rsidRPr="00A73D0D">
        <w:rPr>
          <w:b/>
          <w:i/>
          <w:color w:val="000000" w:themeColor="text1"/>
          <w:sz w:val="20"/>
          <w:szCs w:val="20"/>
        </w:rPr>
        <w:t xml:space="preserve">Proposal 3: Capability reporting to NR gNB of minimum timeframe needed (e.g. </w:t>
      </w:r>
      <w:r w:rsidR="002010A4">
        <w:rPr>
          <w:b/>
          <w:i/>
          <w:color w:val="000000" w:themeColor="text1"/>
          <w:sz w:val="20"/>
          <w:szCs w:val="20"/>
        </w:rPr>
        <w:t>X</w:t>
      </w:r>
      <w:r w:rsidRPr="00A73D0D">
        <w:rPr>
          <w:b/>
          <w:i/>
          <w:color w:val="000000" w:themeColor="text1"/>
          <w:sz w:val="20"/>
          <w:szCs w:val="20"/>
        </w:rPr>
        <w:t xml:space="preserve"> </w:t>
      </w:r>
      <w:proofErr w:type="spellStart"/>
      <w:r w:rsidRPr="00A73D0D">
        <w:rPr>
          <w:b/>
          <w:i/>
          <w:color w:val="000000" w:themeColor="text1"/>
          <w:sz w:val="20"/>
          <w:szCs w:val="20"/>
        </w:rPr>
        <w:t>ms</w:t>
      </w:r>
      <w:proofErr w:type="spellEnd"/>
      <w:r w:rsidRPr="00A73D0D">
        <w:rPr>
          <w:b/>
          <w:i/>
          <w:color w:val="000000" w:themeColor="text1"/>
          <w:sz w:val="20"/>
          <w:szCs w:val="20"/>
        </w:rPr>
        <w:t>) for signalling exchange from UE-internal NR module to the LTE module as part of UE capability signalling should be supported.</w:t>
      </w:r>
    </w:p>
    <w:p w14:paraId="3A91C9E1" w14:textId="3E6AC974" w:rsidR="00BC0557" w:rsidRPr="004A03BC" w:rsidRDefault="00BC0557" w:rsidP="00BC0557">
      <w:pPr>
        <w:spacing w:after="120"/>
        <w:rPr>
          <w:b/>
          <w:sz w:val="20"/>
          <w:szCs w:val="20"/>
        </w:rPr>
      </w:pPr>
      <w:r w:rsidRPr="004A03BC">
        <w:rPr>
          <w:b/>
          <w:sz w:val="20"/>
          <w:szCs w:val="20"/>
        </w:rPr>
        <w:t>3. Conclusion</w:t>
      </w:r>
    </w:p>
    <w:p w14:paraId="05FA8798" w14:textId="6E8A2DA9" w:rsidR="00BC0557" w:rsidRPr="009B1F2E" w:rsidRDefault="006F5CF2" w:rsidP="004A03BC">
      <w:pPr>
        <w:pStyle w:val="BodyText"/>
        <w:rPr>
          <w:iCs/>
          <w:color w:val="000000" w:themeColor="text1"/>
          <w:sz w:val="20"/>
          <w:szCs w:val="20"/>
        </w:rPr>
      </w:pPr>
      <w:r w:rsidRPr="009B1F2E">
        <w:rPr>
          <w:color w:val="000000" w:themeColor="text1"/>
          <w:sz w:val="20"/>
          <w:szCs w:val="20"/>
        </w:rPr>
        <w:t xml:space="preserve">In this contribution, we discussed </w:t>
      </w:r>
      <w:r w:rsidR="004A03BC" w:rsidRPr="009B1F2E">
        <w:rPr>
          <w:color w:val="000000" w:themeColor="text1"/>
          <w:sz w:val="20"/>
          <w:szCs w:val="20"/>
        </w:rPr>
        <w:t>and provided our views on</w:t>
      </w:r>
      <w:r w:rsidRPr="009B1F2E">
        <w:rPr>
          <w:color w:val="000000" w:themeColor="text1"/>
          <w:sz w:val="20"/>
          <w:szCs w:val="20"/>
        </w:rPr>
        <w:t xml:space="preserve"> </w:t>
      </w:r>
      <w:r w:rsidR="009B1F2E" w:rsidRPr="009B1F2E">
        <w:rPr>
          <w:color w:val="000000" w:themeColor="text1"/>
          <w:sz w:val="20"/>
        </w:rPr>
        <w:t>mechanisms to support NR Uu controlling LTE sidelink in both mode 4 and mode-3 like operations.</w:t>
      </w:r>
      <w:r w:rsidR="00005302" w:rsidRPr="009B1F2E">
        <w:rPr>
          <w:color w:val="000000" w:themeColor="text1"/>
          <w:sz w:val="20"/>
          <w:szCs w:val="20"/>
        </w:rPr>
        <w:t xml:space="preserve"> </w:t>
      </w:r>
      <w:r w:rsidR="00BC0557" w:rsidRPr="009B1F2E">
        <w:rPr>
          <w:iCs/>
          <w:color w:val="000000" w:themeColor="text1"/>
          <w:sz w:val="20"/>
          <w:szCs w:val="20"/>
        </w:rPr>
        <w:t xml:space="preserve">In summary, we </w:t>
      </w:r>
      <w:r w:rsidRPr="009B1F2E">
        <w:rPr>
          <w:iCs/>
          <w:color w:val="000000" w:themeColor="text1"/>
          <w:sz w:val="20"/>
          <w:szCs w:val="20"/>
        </w:rPr>
        <w:t>made</w:t>
      </w:r>
      <w:r w:rsidR="00BC0557" w:rsidRPr="009B1F2E">
        <w:rPr>
          <w:iCs/>
          <w:color w:val="000000" w:themeColor="text1"/>
          <w:sz w:val="20"/>
          <w:szCs w:val="20"/>
        </w:rPr>
        <w:t xml:space="preserve"> the following proposals:</w:t>
      </w:r>
    </w:p>
    <w:p w14:paraId="5A850248" w14:textId="3BB564E4" w:rsidR="008F22BA" w:rsidRPr="004A03BC" w:rsidRDefault="008F22BA" w:rsidP="00BC0557">
      <w:pPr>
        <w:rPr>
          <w:iCs/>
          <w:color w:val="000000" w:themeColor="text1"/>
          <w:sz w:val="20"/>
          <w:szCs w:val="20"/>
        </w:rPr>
      </w:pPr>
    </w:p>
    <w:p w14:paraId="06951F8C" w14:textId="77777777" w:rsidR="00FA5B50" w:rsidRPr="007E4754" w:rsidRDefault="00FA5B50" w:rsidP="00FA5B50">
      <w:pPr>
        <w:pStyle w:val="BodyText"/>
        <w:rPr>
          <w:b/>
          <w:i/>
          <w:color w:val="auto"/>
          <w:sz w:val="20"/>
          <w:szCs w:val="20"/>
        </w:rPr>
      </w:pPr>
      <w:r w:rsidRPr="007E4754">
        <w:rPr>
          <w:b/>
          <w:i/>
          <w:color w:val="auto"/>
          <w:sz w:val="20"/>
          <w:szCs w:val="20"/>
        </w:rPr>
        <w:t>Proposal 1: In order to support existing LTE sidelink operations in mode 4 in a same manner when under NR Uu control, it is proposed that both common NR RRC (e.g. via a new NR-</w:t>
      </w:r>
      <w:proofErr w:type="spellStart"/>
      <w:r w:rsidRPr="007E4754">
        <w:rPr>
          <w:b/>
          <w:i/>
          <w:color w:val="auto"/>
          <w:sz w:val="20"/>
          <w:szCs w:val="20"/>
        </w:rPr>
        <w:t>SIBx</w:t>
      </w:r>
      <w:proofErr w:type="spellEnd"/>
      <w:r w:rsidRPr="007E4754">
        <w:rPr>
          <w:b/>
          <w:i/>
          <w:color w:val="auto"/>
          <w:sz w:val="20"/>
          <w:szCs w:val="20"/>
        </w:rPr>
        <w:t>) and dedicated NR RRC signalling should be supported.</w:t>
      </w:r>
    </w:p>
    <w:p w14:paraId="21AB98CE" w14:textId="77777777" w:rsidR="00C5569D" w:rsidRPr="00005302" w:rsidRDefault="00C5569D" w:rsidP="00C5569D">
      <w:pPr>
        <w:rPr>
          <w:b/>
          <w:i/>
          <w:color w:val="FF0000"/>
          <w:sz w:val="20"/>
          <w:szCs w:val="20"/>
        </w:rPr>
      </w:pPr>
    </w:p>
    <w:p w14:paraId="03C3BB34" w14:textId="0BEC1BFA" w:rsidR="00D3245A" w:rsidRDefault="00606418" w:rsidP="00D3245A">
      <w:pPr>
        <w:spacing w:after="240"/>
        <w:rPr>
          <w:b/>
          <w:i/>
          <w:sz w:val="20"/>
          <w:szCs w:val="20"/>
        </w:rPr>
      </w:pPr>
      <w:r w:rsidRPr="00420F6D">
        <w:rPr>
          <w:b/>
          <w:i/>
          <w:sz w:val="20"/>
          <w:szCs w:val="20"/>
        </w:rPr>
        <w:t xml:space="preserve">Proposal 2: It is proposed to </w:t>
      </w:r>
      <w:r>
        <w:rPr>
          <w:b/>
          <w:i/>
          <w:sz w:val="20"/>
          <w:szCs w:val="20"/>
        </w:rPr>
        <w:t xml:space="preserve">adopt </w:t>
      </w:r>
      <w:r w:rsidRPr="00420F6D">
        <w:rPr>
          <w:b/>
          <w:i/>
          <w:sz w:val="20"/>
          <w:szCs w:val="20"/>
        </w:rPr>
        <w:t xml:space="preserve">DCI-based activation/release </w:t>
      </w:r>
      <w:r>
        <w:rPr>
          <w:b/>
          <w:i/>
          <w:sz w:val="20"/>
          <w:szCs w:val="20"/>
        </w:rPr>
        <w:t>of LTE sidelink SPS due to benefits in spec impact and performance (including latency) over the RRC-based method.</w:t>
      </w:r>
    </w:p>
    <w:p w14:paraId="06C8DFD4" w14:textId="633F75B8" w:rsidR="009B1F2E" w:rsidRPr="00420F6D" w:rsidRDefault="009B1F2E" w:rsidP="00D3245A">
      <w:pPr>
        <w:spacing w:after="240"/>
        <w:rPr>
          <w:b/>
          <w:i/>
          <w:sz w:val="20"/>
          <w:szCs w:val="20"/>
        </w:rPr>
      </w:pPr>
      <w:r w:rsidRPr="00A73D0D">
        <w:rPr>
          <w:b/>
          <w:i/>
          <w:color w:val="000000" w:themeColor="text1"/>
          <w:sz w:val="20"/>
          <w:szCs w:val="20"/>
        </w:rPr>
        <w:t xml:space="preserve">Proposal 3: Capability reporting to NR gNB of minimum timeframe needed (e.g. x </w:t>
      </w:r>
      <w:proofErr w:type="spellStart"/>
      <w:r w:rsidRPr="00A73D0D">
        <w:rPr>
          <w:b/>
          <w:i/>
          <w:color w:val="000000" w:themeColor="text1"/>
          <w:sz w:val="20"/>
          <w:szCs w:val="20"/>
        </w:rPr>
        <w:t>ms</w:t>
      </w:r>
      <w:proofErr w:type="spellEnd"/>
      <w:r w:rsidRPr="00A73D0D">
        <w:rPr>
          <w:b/>
          <w:i/>
          <w:color w:val="000000" w:themeColor="text1"/>
          <w:sz w:val="20"/>
          <w:szCs w:val="20"/>
        </w:rPr>
        <w:t>) for signalling exchange from UE-internal NR module to the LTE module as part of UE capability signalling should be supported.</w:t>
      </w:r>
    </w:p>
    <w:p w14:paraId="515C510F" w14:textId="77777777" w:rsidR="008F22BA" w:rsidRPr="004A03BC" w:rsidRDefault="008F22BA" w:rsidP="00BC0557">
      <w:pPr>
        <w:rPr>
          <w:sz w:val="20"/>
          <w:szCs w:val="20"/>
        </w:rPr>
      </w:pPr>
    </w:p>
    <w:p w14:paraId="37E830A0" w14:textId="77777777" w:rsidR="00BC0557" w:rsidRPr="004A03BC" w:rsidRDefault="00BC0557" w:rsidP="00BC0557">
      <w:pPr>
        <w:spacing w:after="120"/>
        <w:rPr>
          <w:b/>
          <w:sz w:val="20"/>
          <w:szCs w:val="20"/>
        </w:rPr>
      </w:pPr>
      <w:r w:rsidRPr="004A03BC">
        <w:rPr>
          <w:b/>
          <w:sz w:val="20"/>
          <w:szCs w:val="20"/>
        </w:rPr>
        <w:t>4. References</w:t>
      </w:r>
    </w:p>
    <w:p w14:paraId="4787E0DE" w14:textId="0516AA9C" w:rsidR="00005302" w:rsidRDefault="00005302" w:rsidP="00476B10">
      <w:pPr>
        <w:tabs>
          <w:tab w:val="left" w:pos="426"/>
        </w:tabs>
        <w:spacing w:after="60"/>
        <w:ind w:left="426" w:hanging="426"/>
        <w:rPr>
          <w:color w:val="000000" w:themeColor="text1"/>
          <w:sz w:val="20"/>
          <w:szCs w:val="20"/>
        </w:rPr>
      </w:pPr>
      <w:r>
        <w:rPr>
          <w:color w:val="000000" w:themeColor="text1"/>
          <w:sz w:val="20"/>
          <w:szCs w:val="20"/>
        </w:rPr>
        <w:t>[1]</w:t>
      </w:r>
      <w:r w:rsidR="00476B10">
        <w:rPr>
          <w:color w:val="000000" w:themeColor="text1"/>
          <w:sz w:val="20"/>
          <w:szCs w:val="20"/>
        </w:rPr>
        <w:tab/>
      </w:r>
      <w:r>
        <w:rPr>
          <w:color w:val="000000" w:themeColor="text1"/>
          <w:sz w:val="20"/>
          <w:szCs w:val="20"/>
        </w:rPr>
        <w:t>RP-190766 “</w:t>
      </w:r>
      <w:r w:rsidRPr="00005302">
        <w:rPr>
          <w:color w:val="000000" w:themeColor="text1"/>
          <w:sz w:val="20"/>
          <w:szCs w:val="20"/>
        </w:rPr>
        <w:t>New WID on 5G V2X with NR sidelink</w:t>
      </w:r>
      <w:r>
        <w:rPr>
          <w:color w:val="000000" w:themeColor="text1"/>
          <w:sz w:val="20"/>
          <w:szCs w:val="20"/>
        </w:rPr>
        <w:t>”, RAN#83, LG Electronics, Huawei</w:t>
      </w:r>
    </w:p>
    <w:p w14:paraId="1E2950F2" w14:textId="1166C8A5" w:rsidR="00BC0557" w:rsidRPr="004A03BC" w:rsidRDefault="00BC0557" w:rsidP="00476B10">
      <w:pPr>
        <w:tabs>
          <w:tab w:val="left" w:pos="426"/>
        </w:tabs>
        <w:spacing w:after="60"/>
        <w:ind w:left="426" w:hanging="426"/>
        <w:rPr>
          <w:color w:val="000000" w:themeColor="text1"/>
          <w:sz w:val="20"/>
          <w:szCs w:val="20"/>
        </w:rPr>
      </w:pPr>
      <w:r w:rsidRPr="004A03BC">
        <w:rPr>
          <w:color w:val="000000" w:themeColor="text1"/>
          <w:sz w:val="20"/>
          <w:szCs w:val="20"/>
        </w:rPr>
        <w:t>[</w:t>
      </w:r>
      <w:r w:rsidR="00005302">
        <w:rPr>
          <w:color w:val="000000" w:themeColor="text1"/>
          <w:sz w:val="20"/>
          <w:szCs w:val="20"/>
        </w:rPr>
        <w:t>2</w:t>
      </w:r>
      <w:r w:rsidRPr="004A03BC">
        <w:rPr>
          <w:color w:val="000000" w:themeColor="text1"/>
          <w:sz w:val="20"/>
          <w:szCs w:val="20"/>
        </w:rPr>
        <w:t>]</w:t>
      </w:r>
      <w:r w:rsidR="00476B10">
        <w:rPr>
          <w:color w:val="000000" w:themeColor="text1"/>
          <w:sz w:val="20"/>
          <w:szCs w:val="20"/>
        </w:rPr>
        <w:tab/>
      </w:r>
      <w:r w:rsidR="007C0507" w:rsidRPr="004A03BC">
        <w:rPr>
          <w:color w:val="000000" w:themeColor="text1"/>
          <w:sz w:val="20"/>
          <w:szCs w:val="20"/>
        </w:rPr>
        <w:t>RAN1#</w:t>
      </w:r>
      <w:r w:rsidR="00005302">
        <w:rPr>
          <w:color w:val="000000" w:themeColor="text1"/>
          <w:sz w:val="20"/>
          <w:szCs w:val="20"/>
        </w:rPr>
        <w:t>96</w:t>
      </w:r>
      <w:r w:rsidR="00B86FC5">
        <w:rPr>
          <w:color w:val="000000" w:themeColor="text1"/>
          <w:sz w:val="20"/>
          <w:szCs w:val="20"/>
        </w:rPr>
        <w:t>bis</w:t>
      </w:r>
      <w:r w:rsidR="007C0507" w:rsidRPr="004A03BC">
        <w:rPr>
          <w:color w:val="000000" w:themeColor="text1"/>
          <w:sz w:val="20"/>
          <w:szCs w:val="20"/>
        </w:rPr>
        <w:t xml:space="preserve"> Chairman’s notes (final version)</w:t>
      </w:r>
      <w:bookmarkStart w:id="1" w:name="_GoBack"/>
      <w:bookmarkEnd w:id="1"/>
    </w:p>
    <w:sectPr w:rsidR="00BC0557" w:rsidRPr="004A03B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A6E78" w14:textId="77777777" w:rsidR="00BE4395" w:rsidRDefault="00BE4395" w:rsidP="00511BDE">
      <w:r>
        <w:separator/>
      </w:r>
    </w:p>
  </w:endnote>
  <w:endnote w:type="continuationSeparator" w:id="0">
    <w:p w14:paraId="7DF7BBD8" w14:textId="77777777" w:rsidR="00BE4395" w:rsidRDefault="00BE4395"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0C56D" w14:textId="77777777" w:rsidR="00BE4395" w:rsidRDefault="00BE4395" w:rsidP="00511BDE">
      <w:r>
        <w:separator/>
      </w:r>
    </w:p>
  </w:footnote>
  <w:footnote w:type="continuationSeparator" w:id="0">
    <w:p w14:paraId="5662511A" w14:textId="77777777" w:rsidR="00BE4395" w:rsidRDefault="00BE4395"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2"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12"/>
  </w:num>
  <w:num w:numId="4">
    <w:abstractNumId w:val="8"/>
  </w:num>
  <w:num w:numId="5">
    <w:abstractNumId w:val="3"/>
  </w:num>
  <w:num w:numId="6">
    <w:abstractNumId w:val="8"/>
  </w:num>
  <w:num w:numId="7">
    <w:abstractNumId w:val="8"/>
  </w:num>
  <w:num w:numId="8">
    <w:abstractNumId w:val="8"/>
  </w:num>
  <w:num w:numId="9">
    <w:abstractNumId w:val="8"/>
  </w:num>
  <w:num w:numId="10">
    <w:abstractNumId w:val="11"/>
  </w:num>
  <w:num w:numId="11">
    <w:abstractNumId w:val="14"/>
  </w:num>
  <w:num w:numId="12">
    <w:abstractNumId w:val="0"/>
  </w:num>
  <w:num w:numId="13">
    <w:abstractNumId w:val="1"/>
  </w:num>
  <w:num w:numId="14">
    <w:abstractNumId w:val="9"/>
  </w:num>
  <w:num w:numId="15">
    <w:abstractNumId w:val="10"/>
  </w:num>
  <w:num w:numId="16">
    <w:abstractNumId w:val="7"/>
  </w:num>
  <w:num w:numId="17">
    <w:abstractNumId w:val="5"/>
  </w:num>
  <w:num w:numId="18">
    <w:abstractNumId w:val="15"/>
  </w:num>
  <w:num w:numId="19">
    <w:abstractNumId w:val="16"/>
  </w:num>
  <w:num w:numId="20">
    <w:abstractNumId w:val="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6EB6"/>
    <w:rsid w:val="00015C61"/>
    <w:rsid w:val="00023304"/>
    <w:rsid w:val="0002538A"/>
    <w:rsid w:val="00036438"/>
    <w:rsid w:val="000416C0"/>
    <w:rsid w:val="00046E6C"/>
    <w:rsid w:val="000646BE"/>
    <w:rsid w:val="000824A2"/>
    <w:rsid w:val="00096409"/>
    <w:rsid w:val="000A7BDE"/>
    <w:rsid w:val="000E23FD"/>
    <w:rsid w:val="000F4718"/>
    <w:rsid w:val="001110C2"/>
    <w:rsid w:val="0011674C"/>
    <w:rsid w:val="00122C28"/>
    <w:rsid w:val="001234F4"/>
    <w:rsid w:val="00160871"/>
    <w:rsid w:val="00172616"/>
    <w:rsid w:val="00173177"/>
    <w:rsid w:val="00183059"/>
    <w:rsid w:val="0018639A"/>
    <w:rsid w:val="001C4931"/>
    <w:rsid w:val="001C4A2A"/>
    <w:rsid w:val="001D6275"/>
    <w:rsid w:val="001E6977"/>
    <w:rsid w:val="002010A4"/>
    <w:rsid w:val="00227A56"/>
    <w:rsid w:val="002347E5"/>
    <w:rsid w:val="002512F3"/>
    <w:rsid w:val="00282ADD"/>
    <w:rsid w:val="00290D60"/>
    <w:rsid w:val="00290F4A"/>
    <w:rsid w:val="0029653E"/>
    <w:rsid w:val="002A09BD"/>
    <w:rsid w:val="002A4183"/>
    <w:rsid w:val="002A6143"/>
    <w:rsid w:val="002B2204"/>
    <w:rsid w:val="002D117C"/>
    <w:rsid w:val="002F480D"/>
    <w:rsid w:val="00311E4D"/>
    <w:rsid w:val="0031286C"/>
    <w:rsid w:val="00316B82"/>
    <w:rsid w:val="00322BBF"/>
    <w:rsid w:val="00327432"/>
    <w:rsid w:val="00390468"/>
    <w:rsid w:val="00395A18"/>
    <w:rsid w:val="003A1784"/>
    <w:rsid w:val="003A4353"/>
    <w:rsid w:val="003A55B4"/>
    <w:rsid w:val="003A74CD"/>
    <w:rsid w:val="003C70F9"/>
    <w:rsid w:val="003E02C8"/>
    <w:rsid w:val="003F01D2"/>
    <w:rsid w:val="00420F6D"/>
    <w:rsid w:val="004263F7"/>
    <w:rsid w:val="00437571"/>
    <w:rsid w:val="00443FFF"/>
    <w:rsid w:val="00446597"/>
    <w:rsid w:val="00472914"/>
    <w:rsid w:val="00472CC7"/>
    <w:rsid w:val="00476B10"/>
    <w:rsid w:val="004919B6"/>
    <w:rsid w:val="004A03BC"/>
    <w:rsid w:val="004B2974"/>
    <w:rsid w:val="004E7C9C"/>
    <w:rsid w:val="004F16DA"/>
    <w:rsid w:val="004F35D2"/>
    <w:rsid w:val="0051049B"/>
    <w:rsid w:val="00511BDE"/>
    <w:rsid w:val="00523A4F"/>
    <w:rsid w:val="00536FA5"/>
    <w:rsid w:val="00553532"/>
    <w:rsid w:val="005601BB"/>
    <w:rsid w:val="00561A1F"/>
    <w:rsid w:val="00563CA3"/>
    <w:rsid w:val="00570C83"/>
    <w:rsid w:val="0058130A"/>
    <w:rsid w:val="00590970"/>
    <w:rsid w:val="00594422"/>
    <w:rsid w:val="005A2293"/>
    <w:rsid w:val="005A3678"/>
    <w:rsid w:val="005B2729"/>
    <w:rsid w:val="005B5979"/>
    <w:rsid w:val="005C7D1E"/>
    <w:rsid w:val="005D1637"/>
    <w:rsid w:val="005E3141"/>
    <w:rsid w:val="00606418"/>
    <w:rsid w:val="00622721"/>
    <w:rsid w:val="006251B5"/>
    <w:rsid w:val="00631E16"/>
    <w:rsid w:val="006432B0"/>
    <w:rsid w:val="00655F5A"/>
    <w:rsid w:val="006749EC"/>
    <w:rsid w:val="00686047"/>
    <w:rsid w:val="006A51DC"/>
    <w:rsid w:val="006D4CD1"/>
    <w:rsid w:val="006E0CEC"/>
    <w:rsid w:val="006E1142"/>
    <w:rsid w:val="006F5CF2"/>
    <w:rsid w:val="007069E1"/>
    <w:rsid w:val="00723C4C"/>
    <w:rsid w:val="00756A23"/>
    <w:rsid w:val="00782909"/>
    <w:rsid w:val="00797939"/>
    <w:rsid w:val="007A15B3"/>
    <w:rsid w:val="007A430C"/>
    <w:rsid w:val="007A787E"/>
    <w:rsid w:val="007B0977"/>
    <w:rsid w:val="007C0507"/>
    <w:rsid w:val="007D6B9A"/>
    <w:rsid w:val="007E4754"/>
    <w:rsid w:val="00842B4E"/>
    <w:rsid w:val="008466AB"/>
    <w:rsid w:val="00852251"/>
    <w:rsid w:val="008542F0"/>
    <w:rsid w:val="0086661D"/>
    <w:rsid w:val="0086720B"/>
    <w:rsid w:val="00867E6A"/>
    <w:rsid w:val="0087257C"/>
    <w:rsid w:val="00873221"/>
    <w:rsid w:val="008A335B"/>
    <w:rsid w:val="008A5454"/>
    <w:rsid w:val="008B7BA5"/>
    <w:rsid w:val="008C041D"/>
    <w:rsid w:val="008C3113"/>
    <w:rsid w:val="008E12E9"/>
    <w:rsid w:val="008F22BA"/>
    <w:rsid w:val="00923CFE"/>
    <w:rsid w:val="00932048"/>
    <w:rsid w:val="009452C1"/>
    <w:rsid w:val="00947377"/>
    <w:rsid w:val="00947BB5"/>
    <w:rsid w:val="00980EE0"/>
    <w:rsid w:val="009962B2"/>
    <w:rsid w:val="009973A1"/>
    <w:rsid w:val="009A2560"/>
    <w:rsid w:val="009B1F2E"/>
    <w:rsid w:val="009B3062"/>
    <w:rsid w:val="009C3461"/>
    <w:rsid w:val="009C5678"/>
    <w:rsid w:val="009C79F1"/>
    <w:rsid w:val="009D1E50"/>
    <w:rsid w:val="009D7E42"/>
    <w:rsid w:val="009F1A8D"/>
    <w:rsid w:val="009F3F8F"/>
    <w:rsid w:val="00A028D8"/>
    <w:rsid w:val="00A03E4B"/>
    <w:rsid w:val="00A34419"/>
    <w:rsid w:val="00A37703"/>
    <w:rsid w:val="00A40928"/>
    <w:rsid w:val="00A559E1"/>
    <w:rsid w:val="00A71DA6"/>
    <w:rsid w:val="00A73D0D"/>
    <w:rsid w:val="00A76D8F"/>
    <w:rsid w:val="00A82BB2"/>
    <w:rsid w:val="00A8338A"/>
    <w:rsid w:val="00A85216"/>
    <w:rsid w:val="00A956A2"/>
    <w:rsid w:val="00AB022F"/>
    <w:rsid w:val="00AC3DEB"/>
    <w:rsid w:val="00AC5E18"/>
    <w:rsid w:val="00AD1673"/>
    <w:rsid w:val="00AE38BB"/>
    <w:rsid w:val="00AE3D30"/>
    <w:rsid w:val="00AF683C"/>
    <w:rsid w:val="00B04603"/>
    <w:rsid w:val="00B066C3"/>
    <w:rsid w:val="00B076E7"/>
    <w:rsid w:val="00B22099"/>
    <w:rsid w:val="00B23EA2"/>
    <w:rsid w:val="00B30E14"/>
    <w:rsid w:val="00B4302D"/>
    <w:rsid w:val="00B45BA5"/>
    <w:rsid w:val="00B50FA5"/>
    <w:rsid w:val="00B516E2"/>
    <w:rsid w:val="00B63125"/>
    <w:rsid w:val="00B72B9C"/>
    <w:rsid w:val="00B74019"/>
    <w:rsid w:val="00B86FC5"/>
    <w:rsid w:val="00B94420"/>
    <w:rsid w:val="00BB1780"/>
    <w:rsid w:val="00BC0557"/>
    <w:rsid w:val="00BD6D85"/>
    <w:rsid w:val="00BE2A3B"/>
    <w:rsid w:val="00BE4395"/>
    <w:rsid w:val="00BE4DC5"/>
    <w:rsid w:val="00C144FC"/>
    <w:rsid w:val="00C305C2"/>
    <w:rsid w:val="00C31FF2"/>
    <w:rsid w:val="00C352D1"/>
    <w:rsid w:val="00C51B72"/>
    <w:rsid w:val="00C5569D"/>
    <w:rsid w:val="00C65F81"/>
    <w:rsid w:val="00C87C36"/>
    <w:rsid w:val="00CA0AA3"/>
    <w:rsid w:val="00CB2B91"/>
    <w:rsid w:val="00CD7525"/>
    <w:rsid w:val="00D064B6"/>
    <w:rsid w:val="00D12DF2"/>
    <w:rsid w:val="00D1518D"/>
    <w:rsid w:val="00D22BB4"/>
    <w:rsid w:val="00D3245A"/>
    <w:rsid w:val="00D34D2E"/>
    <w:rsid w:val="00D435E6"/>
    <w:rsid w:val="00D715A7"/>
    <w:rsid w:val="00D71A65"/>
    <w:rsid w:val="00D71B94"/>
    <w:rsid w:val="00DA4FAB"/>
    <w:rsid w:val="00DA5222"/>
    <w:rsid w:val="00DC1F83"/>
    <w:rsid w:val="00DD2240"/>
    <w:rsid w:val="00E118B0"/>
    <w:rsid w:val="00E15ABB"/>
    <w:rsid w:val="00E23402"/>
    <w:rsid w:val="00E61E35"/>
    <w:rsid w:val="00E64289"/>
    <w:rsid w:val="00E926B4"/>
    <w:rsid w:val="00E96E5D"/>
    <w:rsid w:val="00EB013E"/>
    <w:rsid w:val="00ED5069"/>
    <w:rsid w:val="00EE3CC6"/>
    <w:rsid w:val="00EE40AD"/>
    <w:rsid w:val="00F04F5B"/>
    <w:rsid w:val="00F10BED"/>
    <w:rsid w:val="00F20722"/>
    <w:rsid w:val="00F43AB1"/>
    <w:rsid w:val="00F445AF"/>
    <w:rsid w:val="00F52ACA"/>
    <w:rsid w:val="00F5580C"/>
    <w:rsid w:val="00F743E3"/>
    <w:rsid w:val="00F74466"/>
    <w:rsid w:val="00F92EC0"/>
    <w:rsid w:val="00FA0D39"/>
    <w:rsid w:val="00FA1128"/>
    <w:rsid w:val="00FA5B50"/>
    <w:rsid w:val="00FB6004"/>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3554</TotalTime>
  <Pages>3</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Discussion on NR Uu controlling LTE sidelink</vt:lpstr>
    </vt:vector>
  </TitlesOfParts>
  <Company>Guangdong OPPO Mobile Telecom</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 Uu controlling LTE sidelink</dc:title>
  <dc:subject>NR-V2X Coexistence</dc:subject>
  <dc:creator>Kevin.Lin@oppo.com</dc:creator>
  <cp:keywords/>
  <dc:description>Final version for submission</dc:description>
  <cp:lastModifiedBy>Kevin Lin</cp:lastModifiedBy>
  <cp:revision>76</cp:revision>
  <dcterms:created xsi:type="dcterms:W3CDTF">2019-01-08T08:05:00Z</dcterms:created>
  <dcterms:modified xsi:type="dcterms:W3CDTF">2019-05-03T06:52:00Z</dcterms:modified>
</cp:coreProperties>
</file>